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FE4" w:rsidRDefault="00436FE4" w:rsidP="00436FE4">
      <w:pPr>
        <w:ind w:left="1440" w:firstLine="720"/>
      </w:pPr>
    </w:p>
    <w:p w:rsidR="00436FE4" w:rsidRPr="00663AE9" w:rsidRDefault="00436FE4" w:rsidP="00663AE9">
      <w:pPr>
        <w:ind w:left="2160" w:firstLine="720"/>
        <w:rPr>
          <w:sz w:val="32"/>
          <w:szCs w:val="32"/>
        </w:rPr>
      </w:pPr>
      <w:r w:rsidRPr="00663AE9">
        <w:rPr>
          <w:sz w:val="32"/>
          <w:szCs w:val="32"/>
        </w:rPr>
        <w:t xml:space="preserve">BIOMED </w:t>
      </w:r>
      <w:r w:rsidR="00682E23" w:rsidRPr="00663AE9">
        <w:rPr>
          <w:sz w:val="32"/>
          <w:szCs w:val="32"/>
        </w:rPr>
        <w:t>4120</w:t>
      </w:r>
      <w:r w:rsidRPr="00663AE9">
        <w:rPr>
          <w:sz w:val="32"/>
          <w:szCs w:val="32"/>
        </w:rPr>
        <w:t>/</w:t>
      </w:r>
      <w:r w:rsidR="00682E23" w:rsidRPr="00663AE9">
        <w:rPr>
          <w:sz w:val="32"/>
          <w:szCs w:val="32"/>
        </w:rPr>
        <w:t>V_PBIO</w:t>
      </w:r>
      <w:r w:rsidR="00926D5E" w:rsidRPr="00663AE9">
        <w:rPr>
          <w:sz w:val="32"/>
          <w:szCs w:val="32"/>
        </w:rPr>
        <w:t xml:space="preserve"> </w:t>
      </w:r>
      <w:r w:rsidR="00682E23" w:rsidRPr="00663AE9">
        <w:rPr>
          <w:sz w:val="32"/>
          <w:szCs w:val="32"/>
        </w:rPr>
        <w:t>8401</w:t>
      </w:r>
      <w:r w:rsidRPr="00663AE9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436FE4" w:rsidRPr="00663AE9" w:rsidRDefault="00436FE4" w:rsidP="00436FE4">
      <w:pPr>
        <w:ind w:firstLine="720"/>
        <w:rPr>
          <w:b/>
          <w:sz w:val="28"/>
          <w:szCs w:val="28"/>
        </w:rPr>
      </w:pPr>
      <w:r w:rsidRPr="00436FE4">
        <w:t xml:space="preserve">                       </w:t>
      </w:r>
      <w:r w:rsidR="00663AE9">
        <w:tab/>
      </w:r>
      <w:r w:rsidR="00663AE9">
        <w:tab/>
      </w:r>
      <w:bookmarkStart w:id="0" w:name="_GoBack"/>
      <w:bookmarkEnd w:id="0"/>
      <w:r w:rsidR="00063D36" w:rsidRPr="00663AE9">
        <w:rPr>
          <w:b/>
          <w:sz w:val="28"/>
          <w:szCs w:val="28"/>
        </w:rPr>
        <w:t>Principles of Toxicology</w:t>
      </w:r>
    </w:p>
    <w:p w:rsidR="00436FE4" w:rsidRDefault="00436FE4" w:rsidP="00436FE4">
      <w:pPr>
        <w:ind w:left="1440" w:firstLine="720"/>
        <w:rPr>
          <w:b/>
        </w:rPr>
      </w:pPr>
    </w:p>
    <w:p w:rsidR="00017217" w:rsidRDefault="00017217" w:rsidP="00436FE4">
      <w:pPr>
        <w:rPr>
          <w:b/>
        </w:rPr>
      </w:pPr>
    </w:p>
    <w:p w:rsidR="00436FE4" w:rsidRPr="00436FE4" w:rsidRDefault="00436FE4" w:rsidP="00436FE4">
      <w:r w:rsidRPr="00436FE4">
        <w:rPr>
          <w:b/>
        </w:rPr>
        <w:t>COURSE PROFILE</w:t>
      </w:r>
    </w:p>
    <w:p w:rsidR="00436FE4" w:rsidRDefault="00436FE4" w:rsidP="00017217"/>
    <w:p w:rsidR="00436FE4" w:rsidRDefault="00436FE4" w:rsidP="00017217">
      <w:pPr>
        <w:ind w:left="2880" w:hanging="2880"/>
      </w:pPr>
      <w:r w:rsidRPr="007668BE">
        <w:rPr>
          <w:b/>
        </w:rPr>
        <w:t>Course Description</w:t>
      </w:r>
      <w:r w:rsidRPr="00436FE4">
        <w:tab/>
        <w:t xml:space="preserve">This course will provide </w:t>
      </w:r>
      <w:r w:rsidR="007C023E">
        <w:t xml:space="preserve">an introduction to the general principles of toxicology, </w:t>
      </w:r>
      <w:r w:rsidR="00063D36">
        <w:t>including the history and scope of th</w:t>
      </w:r>
      <w:r w:rsidR="007C023E">
        <w:t>e field</w:t>
      </w:r>
      <w:r w:rsidR="00EE0D2A">
        <w:t xml:space="preserve">; </w:t>
      </w:r>
      <w:r w:rsidR="004454A4">
        <w:t xml:space="preserve">risk assessment and management; </w:t>
      </w:r>
      <w:r w:rsidR="007C023E">
        <w:t xml:space="preserve">mechanisms of toxicity; </w:t>
      </w:r>
      <w:r w:rsidR="004454A4">
        <w:t xml:space="preserve">the disposition of toxicants, </w:t>
      </w:r>
      <w:r w:rsidR="007C023E">
        <w:t>non</w:t>
      </w:r>
      <w:r w:rsidR="00CD25FF">
        <w:t xml:space="preserve">-target </w:t>
      </w:r>
      <w:r w:rsidR="007C023E">
        <w:t xml:space="preserve">organ-directed </w:t>
      </w:r>
      <w:r w:rsidR="00EE0D2A">
        <w:t>toxicity</w:t>
      </w:r>
      <w:r w:rsidR="007C023E">
        <w:t>;</w:t>
      </w:r>
      <w:r w:rsidR="00063D36">
        <w:t xml:space="preserve"> </w:t>
      </w:r>
      <w:r w:rsidR="00EE0D2A">
        <w:t>toxic responses of specific target organs</w:t>
      </w:r>
      <w:r w:rsidR="00063D36">
        <w:t xml:space="preserve">; </w:t>
      </w:r>
      <w:r w:rsidR="004454A4">
        <w:t xml:space="preserve">and </w:t>
      </w:r>
      <w:r w:rsidR="00EE0D2A">
        <w:t xml:space="preserve">various toxicological applications, such as </w:t>
      </w:r>
      <w:r w:rsidR="00063D36">
        <w:t>environmental toxicology</w:t>
      </w:r>
      <w:r w:rsidR="00CD25FF">
        <w:t>.</w:t>
      </w:r>
      <w:r w:rsidR="00063D36">
        <w:t xml:space="preserve"> </w:t>
      </w:r>
    </w:p>
    <w:p w:rsidR="00436FE4" w:rsidRDefault="00436FE4" w:rsidP="00436FE4"/>
    <w:p w:rsidR="00436FE4" w:rsidRDefault="007C023E" w:rsidP="00436FE4">
      <w:r w:rsidRPr="007668BE">
        <w:rPr>
          <w:b/>
        </w:rPr>
        <w:t>Instructors</w:t>
      </w:r>
      <w:r>
        <w:tab/>
      </w:r>
      <w:r>
        <w:tab/>
      </w:r>
      <w:r>
        <w:tab/>
        <w:t>Tim</w:t>
      </w:r>
      <w:r w:rsidR="00063D36">
        <w:t xml:space="preserve"> J</w:t>
      </w:r>
      <w:r>
        <w:t>.</w:t>
      </w:r>
      <w:r w:rsidR="00063D36">
        <w:t xml:space="preserve"> Evans, DVM, MS, PhD, </w:t>
      </w:r>
      <w:r>
        <w:t>DACT, D</w:t>
      </w:r>
      <w:r w:rsidR="00063D36">
        <w:t>ABVT</w:t>
      </w:r>
    </w:p>
    <w:p w:rsidR="00436FE4" w:rsidRDefault="00063D36" w:rsidP="00436FE4">
      <w:pPr>
        <w:ind w:left="2160" w:firstLine="720"/>
      </w:pPr>
      <w:r>
        <w:t>Associate</w:t>
      </w:r>
      <w:r w:rsidR="00436FE4">
        <w:t xml:space="preserve"> Professor</w:t>
      </w:r>
    </w:p>
    <w:p w:rsidR="00063D36" w:rsidRDefault="00063D36" w:rsidP="00436FE4">
      <w:pPr>
        <w:ind w:left="2160" w:firstLine="720"/>
      </w:pPr>
      <w:r>
        <w:t>Department of Veterinary Pathobiology</w:t>
      </w:r>
    </w:p>
    <w:p w:rsidR="00063D36" w:rsidRDefault="00063D36" w:rsidP="00436FE4">
      <w:pPr>
        <w:ind w:left="2160" w:firstLine="720"/>
      </w:pPr>
      <w:r>
        <w:t>Tel: (573) 882-6811</w:t>
      </w:r>
    </w:p>
    <w:p w:rsidR="00D26291" w:rsidRDefault="00063D36" w:rsidP="00D26291">
      <w:pPr>
        <w:ind w:left="2160" w:firstLine="720"/>
      </w:pPr>
      <w:r>
        <w:t>Email:</w:t>
      </w:r>
      <w:r w:rsidR="00D26291">
        <w:t xml:space="preserve"> </w:t>
      </w:r>
      <w:hyperlink r:id="rId7" w:history="1">
        <w:r w:rsidR="00D26291" w:rsidRPr="00AE0502">
          <w:rPr>
            <w:rStyle w:val="Hyperlink"/>
          </w:rPr>
          <w:t>evanst@missouri.edu</w:t>
        </w:r>
      </w:hyperlink>
    </w:p>
    <w:p w:rsidR="00436FE4" w:rsidRDefault="00436FE4" w:rsidP="00436FE4"/>
    <w:p w:rsidR="00063D36" w:rsidRDefault="00063D36" w:rsidP="00063D36">
      <w:pPr>
        <w:ind w:left="2160" w:firstLine="720"/>
      </w:pPr>
      <w:r>
        <w:t xml:space="preserve">Chada S. Reddy, </w:t>
      </w:r>
      <w:proofErr w:type="spellStart"/>
      <w:r>
        <w:t>BVSc</w:t>
      </w:r>
      <w:proofErr w:type="spellEnd"/>
      <w:r>
        <w:t>, PhD</w:t>
      </w:r>
    </w:p>
    <w:p w:rsidR="00063D36" w:rsidRDefault="00063D36" w:rsidP="00063D36">
      <w:pPr>
        <w:ind w:left="2160" w:firstLine="720"/>
      </w:pPr>
      <w:r>
        <w:t>Associate Professor</w:t>
      </w:r>
    </w:p>
    <w:p w:rsidR="00063D36" w:rsidRDefault="00063D36" w:rsidP="00063D36">
      <w:pPr>
        <w:ind w:left="2160" w:firstLine="720"/>
      </w:pPr>
      <w:r>
        <w:t>Department of Biomedical Sciences</w:t>
      </w:r>
    </w:p>
    <w:p w:rsidR="00D26291" w:rsidRDefault="007C023E" w:rsidP="00D26291">
      <w:pPr>
        <w:ind w:left="2160" w:firstLine="720"/>
      </w:pPr>
      <w:r>
        <w:t xml:space="preserve">Telephone: </w:t>
      </w:r>
      <w:r w:rsidR="00D26291">
        <w:t>(573) 882-7653</w:t>
      </w:r>
    </w:p>
    <w:p w:rsidR="00063D36" w:rsidRDefault="00D26291" w:rsidP="00063D36">
      <w:pPr>
        <w:ind w:left="2160" w:firstLine="720"/>
      </w:pPr>
      <w:r>
        <w:t xml:space="preserve">Email: </w:t>
      </w:r>
      <w:hyperlink r:id="rId8" w:history="1">
        <w:r w:rsidRPr="00AE0502">
          <w:rPr>
            <w:rStyle w:val="Hyperlink"/>
          </w:rPr>
          <w:t>reddyc@missouri.edu</w:t>
        </w:r>
      </w:hyperlink>
    </w:p>
    <w:p w:rsidR="00D26291" w:rsidRDefault="00D26291" w:rsidP="00063D36">
      <w:pPr>
        <w:ind w:left="2160" w:firstLine="720"/>
      </w:pPr>
    </w:p>
    <w:p w:rsidR="00063D36" w:rsidRDefault="00063D36" w:rsidP="00063D36">
      <w:pPr>
        <w:ind w:left="2160" w:firstLine="720"/>
      </w:pPr>
      <w:r>
        <w:t>College of Veterinary Medicine</w:t>
      </w:r>
    </w:p>
    <w:p w:rsidR="00436FE4" w:rsidRDefault="00063D36" w:rsidP="00063D36">
      <w:pPr>
        <w:ind w:left="2160" w:firstLine="720"/>
      </w:pPr>
      <w:r>
        <w:t>University of Missouri</w:t>
      </w:r>
    </w:p>
    <w:p w:rsidR="00436FE4" w:rsidRDefault="00D26291" w:rsidP="007668BE">
      <w:pPr>
        <w:tabs>
          <w:tab w:val="left" w:pos="-720"/>
        </w:tabs>
        <w:ind w:left="2160" w:firstLine="720"/>
      </w:pPr>
      <w:r>
        <w:t>Columbia, MO 65211</w:t>
      </w:r>
      <w:r w:rsidR="00436FE4">
        <w:t xml:space="preserve"> </w:t>
      </w:r>
    </w:p>
    <w:p w:rsidR="00436FE4" w:rsidRDefault="00436FE4" w:rsidP="00436FE4">
      <w:pPr>
        <w:tabs>
          <w:tab w:val="left" w:pos="-1440"/>
          <w:tab w:val="left" w:pos="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F74355" w:rsidRPr="007668BE" w:rsidRDefault="00436FE4" w:rsidP="00436FE4">
      <w:pPr>
        <w:rPr>
          <w:b/>
        </w:rPr>
      </w:pPr>
      <w:r w:rsidRPr="007668BE">
        <w:rPr>
          <w:b/>
        </w:rPr>
        <w:t xml:space="preserve">Major </w:t>
      </w:r>
      <w:r w:rsidR="007668BE">
        <w:rPr>
          <w:b/>
        </w:rPr>
        <w:t xml:space="preserve">Course </w:t>
      </w:r>
      <w:r w:rsidRPr="007668BE">
        <w:rPr>
          <w:b/>
        </w:rPr>
        <w:t>Objectives</w:t>
      </w:r>
      <w:r w:rsidR="00F74355" w:rsidRPr="007668BE">
        <w:rPr>
          <w:b/>
        </w:rPr>
        <w:t>:</w:t>
      </w:r>
    </w:p>
    <w:p w:rsidR="00F74355" w:rsidRDefault="00436FE4" w:rsidP="00436FE4">
      <w:pPr>
        <w:rPr>
          <w:color w:val="000000"/>
          <w:szCs w:val="24"/>
        </w:rPr>
      </w:pPr>
      <w:r>
        <w:t xml:space="preserve">At the end of this course, the student </w:t>
      </w:r>
      <w:r w:rsidR="00802DBF">
        <w:t>enrolled in BIOMED 4</w:t>
      </w:r>
      <w:r w:rsidR="000758E7">
        <w:t>120</w:t>
      </w:r>
      <w:r w:rsidR="00802DBF">
        <w:t xml:space="preserve"> </w:t>
      </w:r>
      <w:r>
        <w:t>will be able to</w:t>
      </w:r>
      <w:r w:rsidR="00F74355">
        <w:t xml:space="preserve"> understand</w:t>
      </w:r>
      <w:r>
        <w:t>:</w:t>
      </w:r>
      <w:r w:rsidR="00F74355" w:rsidRPr="00F74355">
        <w:rPr>
          <w:szCs w:val="24"/>
        </w:rPr>
        <w:t xml:space="preserve"> </w:t>
      </w:r>
      <w:r w:rsidR="00F74355" w:rsidRPr="00F74355">
        <w:rPr>
          <w:color w:val="000000"/>
          <w:szCs w:val="24"/>
        </w:rPr>
        <w:t xml:space="preserve"> </w:t>
      </w:r>
    </w:p>
    <w:p w:rsidR="00CD25FF" w:rsidRDefault="001C7617" w:rsidP="00F743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Basic principles of </w:t>
      </w:r>
      <w:proofErr w:type="spellStart"/>
      <w:r w:rsidR="00F74355" w:rsidRPr="003423C4">
        <w:rPr>
          <w:rFonts w:ascii="Times New Roman" w:hAnsi="Times New Roman" w:cs="Times New Roman"/>
          <w:color w:val="000000"/>
          <w:sz w:val="24"/>
          <w:szCs w:val="24"/>
        </w:rPr>
        <w:t>toxico</w:t>
      </w:r>
      <w:r>
        <w:rPr>
          <w:rFonts w:ascii="Times New Roman" w:hAnsi="Times New Roman" w:cs="Times New Roman"/>
          <w:color w:val="000000"/>
          <w:sz w:val="24"/>
          <w:szCs w:val="24"/>
        </w:rPr>
        <w:t>kinetics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toxico</w:t>
      </w:r>
      <w:r w:rsidR="00F74355" w:rsidRPr="003423C4">
        <w:rPr>
          <w:rFonts w:ascii="Times New Roman" w:hAnsi="Times New Roman" w:cs="Times New Roman"/>
          <w:color w:val="000000"/>
          <w:sz w:val="24"/>
          <w:szCs w:val="24"/>
        </w:rPr>
        <w:t>dynamics</w:t>
      </w:r>
      <w:proofErr w:type="spellEnd"/>
      <w:r w:rsidR="0084531E" w:rsidRPr="003423C4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="00F74355" w:rsidRPr="003423C4">
        <w:rPr>
          <w:rFonts w:ascii="Times New Roman" w:hAnsi="Times New Roman" w:cs="Times New Roman"/>
          <w:color w:val="000000"/>
          <w:sz w:val="24"/>
          <w:szCs w:val="24"/>
        </w:rPr>
        <w:t xml:space="preserve"> dose-response relationships</w:t>
      </w:r>
    </w:p>
    <w:p w:rsidR="00F74355" w:rsidRPr="00CD25FF" w:rsidRDefault="00CD25FF" w:rsidP="00CD25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3423C4">
        <w:rPr>
          <w:rFonts w:ascii="Times New Roman" w:hAnsi="Times New Roman" w:cs="Times New Roman"/>
          <w:color w:val="000000"/>
          <w:sz w:val="24"/>
          <w:szCs w:val="24"/>
        </w:rPr>
        <w:t>isk assessment and management</w:t>
      </w:r>
      <w:r w:rsidR="00EE0D2A">
        <w:rPr>
          <w:rFonts w:ascii="Times New Roman" w:hAnsi="Times New Roman" w:cs="Times New Roman"/>
          <w:color w:val="000000"/>
          <w:sz w:val="24"/>
          <w:szCs w:val="24"/>
        </w:rPr>
        <w:t xml:space="preserve"> procedures</w:t>
      </w:r>
    </w:p>
    <w:p w:rsidR="0084531E" w:rsidRPr="003423C4" w:rsidRDefault="00CD25FF" w:rsidP="008453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Mechanisms of </w:t>
      </w:r>
      <w:r w:rsidR="0084531E" w:rsidRPr="003423C4">
        <w:rPr>
          <w:rFonts w:ascii="Times New Roman" w:hAnsi="Times New Roman" w:cs="Times New Roman"/>
          <w:color w:val="000000"/>
          <w:sz w:val="24"/>
          <w:szCs w:val="24"/>
        </w:rPr>
        <w:t xml:space="preserve">carcinogenesis, mutagenesis, </w:t>
      </w:r>
      <w:r w:rsidR="004454A4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proofErr w:type="spellStart"/>
      <w:r w:rsidR="004454A4">
        <w:rPr>
          <w:rFonts w:ascii="Times New Roman" w:hAnsi="Times New Roman" w:cs="Times New Roman"/>
          <w:color w:val="000000"/>
          <w:sz w:val="24"/>
          <w:szCs w:val="24"/>
        </w:rPr>
        <w:t>teratogenesis</w:t>
      </w:r>
      <w:proofErr w:type="spellEnd"/>
      <w:r w:rsidR="0084531E" w:rsidRPr="003423C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CD25FF" w:rsidRDefault="00EE0D2A" w:rsidP="00F743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D25FF">
        <w:rPr>
          <w:rFonts w:ascii="Times New Roman" w:hAnsi="Times New Roman" w:cs="Times New Roman"/>
          <w:color w:val="000000"/>
          <w:sz w:val="24"/>
          <w:szCs w:val="24"/>
        </w:rPr>
        <w:t xml:space="preserve">esponses of specific </w:t>
      </w:r>
      <w:r w:rsidR="00F74355" w:rsidRPr="003423C4">
        <w:rPr>
          <w:rFonts w:ascii="Times New Roman" w:hAnsi="Times New Roman" w:cs="Times New Roman"/>
          <w:color w:val="000000"/>
          <w:sz w:val="24"/>
          <w:szCs w:val="24"/>
        </w:rPr>
        <w:t>target organs</w:t>
      </w:r>
      <w:r w:rsidR="00CD25FF">
        <w:rPr>
          <w:rFonts w:ascii="Times New Roman" w:hAnsi="Times New Roman" w:cs="Times New Roman"/>
          <w:color w:val="000000"/>
          <w:sz w:val="24"/>
          <w:szCs w:val="24"/>
        </w:rPr>
        <w:t xml:space="preserve"> to toxic insult</w:t>
      </w:r>
    </w:p>
    <w:p w:rsidR="00802DBF" w:rsidRPr="00017217" w:rsidRDefault="00EE0D2A" w:rsidP="000172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Potential adverse effects </w:t>
      </w:r>
      <w:r w:rsidR="00017217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various </w:t>
      </w:r>
      <w:r w:rsidR="00CD25FF">
        <w:rPr>
          <w:rFonts w:ascii="Times New Roman" w:hAnsi="Times New Roman" w:cs="Times New Roman"/>
          <w:color w:val="000000"/>
          <w:sz w:val="24"/>
          <w:szCs w:val="24"/>
        </w:rPr>
        <w:t>classes of toxicants</w:t>
      </w:r>
      <w:r w:rsidR="000172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7217">
        <w:rPr>
          <w:rFonts w:ascii="Times New Roman" w:hAnsi="Times New Roman" w:cs="Times New Roman"/>
          <w:color w:val="000000"/>
          <w:sz w:val="24"/>
          <w:szCs w:val="24"/>
        </w:rPr>
        <w:t>Various a</w:t>
      </w:r>
      <w:r w:rsidR="007668BE" w:rsidRPr="00017217">
        <w:rPr>
          <w:rFonts w:ascii="Times New Roman" w:hAnsi="Times New Roman" w:cs="Times New Roman"/>
          <w:color w:val="000000"/>
          <w:sz w:val="24"/>
          <w:szCs w:val="24"/>
        </w:rPr>
        <w:t>pplications of toxicology</w:t>
      </w:r>
    </w:p>
    <w:p w:rsidR="001C7617" w:rsidRDefault="001C7617" w:rsidP="00802DBF">
      <w:pPr>
        <w:ind w:left="360"/>
        <w:rPr>
          <w:szCs w:val="24"/>
        </w:rPr>
      </w:pPr>
    </w:p>
    <w:p w:rsidR="00436FE4" w:rsidRDefault="000758E7" w:rsidP="001C7617">
      <w:pPr>
        <w:tabs>
          <w:tab w:val="left" w:pos="-720"/>
        </w:tabs>
        <w:ind w:left="360"/>
        <w:rPr>
          <w:szCs w:val="24"/>
        </w:rPr>
      </w:pPr>
      <w:r>
        <w:rPr>
          <w:szCs w:val="24"/>
        </w:rPr>
        <w:t>V_PBIO 8401</w:t>
      </w:r>
      <w:r w:rsidR="00802DBF">
        <w:rPr>
          <w:szCs w:val="24"/>
        </w:rPr>
        <w:t>: Additional assignments requiring advanced learning and understanding of</w:t>
      </w:r>
      <w:r w:rsidR="001C7617">
        <w:rPr>
          <w:szCs w:val="24"/>
        </w:rPr>
        <w:t xml:space="preserve"> these topics will be provided to graduate students.</w:t>
      </w:r>
    </w:p>
    <w:p w:rsidR="005E31B0" w:rsidRPr="003423C4" w:rsidRDefault="005E31B0" w:rsidP="001C7617">
      <w:pPr>
        <w:tabs>
          <w:tab w:val="left" w:pos="-720"/>
        </w:tabs>
        <w:ind w:left="360"/>
        <w:rPr>
          <w:szCs w:val="24"/>
        </w:rPr>
      </w:pPr>
    </w:p>
    <w:p w:rsidR="0084531E" w:rsidRDefault="00802DBF" w:rsidP="00436FE4">
      <w:pPr>
        <w:ind w:left="2880" w:hanging="2880"/>
      </w:pPr>
      <w:r w:rsidRPr="007668BE">
        <w:rPr>
          <w:b/>
        </w:rPr>
        <w:lastRenderedPageBreak/>
        <w:t>Prerequisites</w:t>
      </w:r>
      <w:r>
        <w:tab/>
        <w:t>BIOMED</w:t>
      </w:r>
      <w:r w:rsidR="000758E7">
        <w:t xml:space="preserve"> 4120</w:t>
      </w:r>
      <w:r w:rsidR="0084531E">
        <w:t>: one year each of chemistry and biology, biochemistry desirable</w:t>
      </w:r>
    </w:p>
    <w:p w:rsidR="000758E7" w:rsidRDefault="000758E7" w:rsidP="00436FE4">
      <w:pPr>
        <w:ind w:left="2880" w:hanging="2880"/>
      </w:pPr>
    </w:p>
    <w:p w:rsidR="00436FE4" w:rsidRDefault="000758E7" w:rsidP="00436FE4">
      <w:pPr>
        <w:ind w:left="2880" w:hanging="2880"/>
      </w:pPr>
      <w:r>
        <w:tab/>
        <w:t>V_PBIO 8401</w:t>
      </w:r>
      <w:r w:rsidR="0084531E">
        <w:t xml:space="preserve">: completion of an undergraduate degree in biochemistry, biology or equivalent </w:t>
      </w:r>
    </w:p>
    <w:p w:rsidR="00436FE4" w:rsidRDefault="00436FE4" w:rsidP="00436FE4">
      <w:pPr>
        <w:tabs>
          <w:tab w:val="left" w:pos="-1440"/>
          <w:tab w:val="left" w:pos="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36FE4" w:rsidRDefault="00436FE4" w:rsidP="00436FE4">
      <w:pPr>
        <w:tabs>
          <w:tab w:val="left" w:pos="-1440"/>
          <w:tab w:val="left" w:pos="0"/>
          <w:tab w:val="left" w:pos="28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  <w:r w:rsidRPr="007668BE">
        <w:rPr>
          <w:b/>
        </w:rPr>
        <w:t>Delivery</w:t>
      </w:r>
      <w:r>
        <w:tab/>
        <w:t>100% online</w:t>
      </w:r>
    </w:p>
    <w:p w:rsidR="00436FE4" w:rsidRDefault="00436FE4" w:rsidP="00436FE4">
      <w:pPr>
        <w:tabs>
          <w:tab w:val="left" w:pos="-1440"/>
          <w:tab w:val="left" w:pos="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36FE4" w:rsidRDefault="00436FE4" w:rsidP="00436FE4">
      <w:pPr>
        <w:tabs>
          <w:tab w:val="left" w:pos="-1440"/>
          <w:tab w:val="left" w:pos="0"/>
          <w:tab w:val="left" w:pos="28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  <w:r w:rsidRPr="007668BE">
        <w:rPr>
          <w:b/>
        </w:rPr>
        <w:t>Organization</w:t>
      </w:r>
      <w:r>
        <w:tab/>
        <w:t xml:space="preserve">Course materials are located under the left-hand tab in the course Blackboard site under </w:t>
      </w:r>
      <w:r>
        <w:rPr>
          <w:rFonts w:ascii="WP TypographicSymbols" w:hAnsi="WP TypographicSymbols"/>
        </w:rPr>
        <w:t>“</w:t>
      </w:r>
      <w:r>
        <w:t>Units</w:t>
      </w:r>
      <w:r>
        <w:rPr>
          <w:rFonts w:ascii="WP TypographicSymbols" w:hAnsi="WP TypographicSymbols"/>
        </w:rPr>
        <w:t>”</w:t>
      </w:r>
      <w:r>
        <w:t xml:space="preserve">.  </w:t>
      </w:r>
      <w:r>
        <w:rPr>
          <w:rFonts w:ascii="WP TypographicSymbols" w:hAnsi="WP TypographicSymbols"/>
        </w:rPr>
        <w:t>“</w:t>
      </w:r>
      <w:r>
        <w:t>Sessions</w:t>
      </w:r>
      <w:r>
        <w:rPr>
          <w:rFonts w:ascii="WP TypographicSymbols" w:hAnsi="WP TypographicSymbols"/>
        </w:rPr>
        <w:t>”</w:t>
      </w:r>
      <w:r>
        <w:t xml:space="preserve"> are found under </w:t>
      </w:r>
      <w:r>
        <w:rPr>
          <w:rFonts w:ascii="WP TypographicSymbols" w:hAnsi="WP TypographicSymbols"/>
        </w:rPr>
        <w:t>“</w:t>
      </w:r>
      <w:r>
        <w:t>Units</w:t>
      </w:r>
      <w:r>
        <w:rPr>
          <w:rFonts w:ascii="WP TypographicSymbols" w:hAnsi="WP TypographicSymbols"/>
        </w:rPr>
        <w:t>”</w:t>
      </w:r>
      <w:r>
        <w:t xml:space="preserve"> and </w:t>
      </w:r>
      <w:r>
        <w:rPr>
          <w:rFonts w:ascii="WP TypographicSymbols" w:hAnsi="WP TypographicSymbols"/>
        </w:rPr>
        <w:t>“</w:t>
      </w:r>
      <w:r>
        <w:t>Modules</w:t>
      </w:r>
      <w:r>
        <w:rPr>
          <w:rFonts w:ascii="WP TypographicSymbols" w:hAnsi="WP TypographicSymbols"/>
        </w:rPr>
        <w:t>”</w:t>
      </w:r>
      <w:r>
        <w:t xml:space="preserve"> under </w:t>
      </w:r>
      <w:r>
        <w:rPr>
          <w:rFonts w:ascii="WP TypographicSymbols" w:hAnsi="WP TypographicSymbols"/>
        </w:rPr>
        <w:t>“</w:t>
      </w:r>
      <w:r>
        <w:t xml:space="preserve">Sessions”.  Further directions are provided in Blackboard.  </w:t>
      </w:r>
    </w:p>
    <w:p w:rsidR="00436FE4" w:rsidRDefault="00436FE4" w:rsidP="00436FE4">
      <w:pPr>
        <w:tabs>
          <w:tab w:val="left" w:pos="-1440"/>
          <w:tab w:val="left" w:pos="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3423C4" w:rsidRDefault="00436FE4" w:rsidP="0084531E">
      <w:pPr>
        <w:ind w:left="2880" w:hanging="2880"/>
        <w:rPr>
          <w:color w:val="333333"/>
          <w:szCs w:val="24"/>
        </w:rPr>
      </w:pPr>
      <w:r w:rsidRPr="007668BE">
        <w:rPr>
          <w:b/>
        </w:rPr>
        <w:t>Required Materials</w:t>
      </w:r>
      <w:r>
        <w:t xml:space="preserve"> </w:t>
      </w:r>
      <w:r>
        <w:tab/>
      </w:r>
      <w:r w:rsidR="00802DBF">
        <w:rPr>
          <w:b/>
        </w:rPr>
        <w:t>BIOMED</w:t>
      </w:r>
      <w:r w:rsidR="000758E7">
        <w:rPr>
          <w:b/>
        </w:rPr>
        <w:t xml:space="preserve"> 4120</w:t>
      </w:r>
      <w:r w:rsidR="0084531E">
        <w:t xml:space="preserve">: </w:t>
      </w:r>
      <w:proofErr w:type="spellStart"/>
      <w:r w:rsidR="0084531E">
        <w:t>Casarett</w:t>
      </w:r>
      <w:proofErr w:type="spellEnd"/>
      <w:r w:rsidR="0084531E">
        <w:t xml:space="preserve"> and </w:t>
      </w:r>
      <w:proofErr w:type="spellStart"/>
      <w:r w:rsidR="0084531E">
        <w:t>Doull’s</w:t>
      </w:r>
      <w:proofErr w:type="spellEnd"/>
      <w:r w:rsidR="0084531E">
        <w:t xml:space="preserve"> Essentials of Toxicology, 2010, 2</w:t>
      </w:r>
      <w:r w:rsidR="0084531E" w:rsidRPr="0084531E">
        <w:rPr>
          <w:vertAlign w:val="superscript"/>
        </w:rPr>
        <w:t>nd</w:t>
      </w:r>
      <w:r w:rsidR="0084531E">
        <w:t xml:space="preserve"> edition, John Watkins III and Curtis </w:t>
      </w:r>
      <w:proofErr w:type="spellStart"/>
      <w:r w:rsidR="0084531E">
        <w:t>Klaassen</w:t>
      </w:r>
      <w:proofErr w:type="spellEnd"/>
      <w:r w:rsidR="0084531E">
        <w:t xml:space="preserve"> (</w:t>
      </w:r>
      <w:proofErr w:type="spellStart"/>
      <w:proofErr w:type="gramStart"/>
      <w:r w:rsidR="0084531E">
        <w:t>eds</w:t>
      </w:r>
      <w:proofErr w:type="spellEnd"/>
      <w:proofErr w:type="gramEnd"/>
      <w:r w:rsidR="0084531E">
        <w:t>), McGraw Hill, ISBN:</w:t>
      </w:r>
      <w:r w:rsidR="0084531E" w:rsidRPr="0084531E">
        <w:rPr>
          <w:rFonts w:ascii="Verdana" w:hAnsi="Verdana"/>
          <w:color w:val="333333"/>
          <w:sz w:val="15"/>
          <w:szCs w:val="15"/>
        </w:rPr>
        <w:t xml:space="preserve"> </w:t>
      </w:r>
      <w:r w:rsidR="0084531E" w:rsidRPr="0084531E">
        <w:rPr>
          <w:color w:val="333333"/>
          <w:szCs w:val="24"/>
        </w:rPr>
        <w:t>0071622403 / 9780071622400</w:t>
      </w:r>
    </w:p>
    <w:p w:rsidR="003423C4" w:rsidRDefault="003423C4" w:rsidP="003423C4">
      <w:pPr>
        <w:ind w:left="2880"/>
        <w:rPr>
          <w:b/>
          <w:color w:val="333333"/>
          <w:szCs w:val="24"/>
        </w:rPr>
      </w:pPr>
    </w:p>
    <w:p w:rsidR="00436FE4" w:rsidRPr="007668BE" w:rsidRDefault="000758E7" w:rsidP="007668BE">
      <w:pPr>
        <w:ind w:left="2880"/>
        <w:rPr>
          <w:color w:val="333333"/>
          <w:szCs w:val="24"/>
        </w:rPr>
      </w:pPr>
      <w:r>
        <w:rPr>
          <w:b/>
          <w:color w:val="333333"/>
          <w:szCs w:val="24"/>
        </w:rPr>
        <w:t>V_PBIO 8401</w:t>
      </w:r>
      <w:r w:rsidR="003423C4">
        <w:rPr>
          <w:color w:val="333333"/>
          <w:szCs w:val="24"/>
        </w:rPr>
        <w:t xml:space="preserve">: </w:t>
      </w:r>
      <w:r w:rsidR="007668BE">
        <w:rPr>
          <w:color w:val="333333"/>
          <w:szCs w:val="24"/>
        </w:rPr>
        <w:t>Same as above, p</w:t>
      </w:r>
      <w:r w:rsidR="003423C4">
        <w:rPr>
          <w:color w:val="333333"/>
          <w:szCs w:val="24"/>
        </w:rPr>
        <w:t>lus</w:t>
      </w:r>
      <w:r w:rsidR="007668BE">
        <w:rPr>
          <w:color w:val="333333"/>
          <w:szCs w:val="24"/>
        </w:rPr>
        <w:t xml:space="preserve"> additional reading a</w:t>
      </w:r>
      <w:r w:rsidR="003423C4" w:rsidRPr="003423C4">
        <w:rPr>
          <w:color w:val="333333"/>
          <w:szCs w:val="24"/>
        </w:rPr>
        <w:t>ssignments</w:t>
      </w:r>
      <w:r w:rsidR="0084531E" w:rsidRPr="003423C4">
        <w:t xml:space="preserve"> </w:t>
      </w:r>
      <w:r w:rsidR="007668BE">
        <w:t>for discussion</w:t>
      </w:r>
    </w:p>
    <w:p w:rsidR="00436FE4" w:rsidRDefault="00436FE4" w:rsidP="00436FE4">
      <w:pPr>
        <w:tabs>
          <w:tab w:val="left" w:pos="-1440"/>
          <w:tab w:val="left" w:pos="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36FE4" w:rsidRDefault="00436FE4" w:rsidP="005E31B0">
      <w:pPr>
        <w:tabs>
          <w:tab w:val="left" w:pos="0"/>
          <w:tab w:val="left" w:pos="28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</w:rPr>
      </w:pPr>
    </w:p>
    <w:p w:rsidR="00436FE4" w:rsidRDefault="00436FE4" w:rsidP="00436FE4">
      <w:pPr>
        <w:tabs>
          <w:tab w:val="right" w:pos="9359"/>
          <w:tab w:val="left" w:pos="0"/>
        </w:tabs>
        <w:rPr>
          <w:b/>
          <w:color w:val="000000"/>
        </w:rPr>
      </w:pPr>
      <w:r>
        <w:rPr>
          <w:b/>
          <w:color w:val="000000"/>
        </w:rPr>
        <w:t>EVALUATION OF</w:t>
      </w:r>
      <w:r>
        <w:rPr>
          <w:b/>
          <w:color w:val="000000"/>
        </w:rPr>
        <w:tab/>
      </w:r>
    </w:p>
    <w:p w:rsidR="00436FE4" w:rsidRPr="0014631E" w:rsidRDefault="00436FE4" w:rsidP="00436FE4">
      <w:pPr>
        <w:tabs>
          <w:tab w:val="left" w:pos="-1440"/>
          <w:tab w:val="left" w:pos="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000000"/>
        </w:rPr>
      </w:pPr>
      <w:r>
        <w:rPr>
          <w:b/>
          <w:color w:val="000000"/>
        </w:rPr>
        <w:t>STUDENT PERFORMANCE</w:t>
      </w:r>
    </w:p>
    <w:p w:rsidR="00436FE4" w:rsidRDefault="00436FE4" w:rsidP="00436FE4">
      <w:pPr>
        <w:tabs>
          <w:tab w:val="left" w:pos="-1440"/>
          <w:tab w:val="left" w:pos="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</w:rPr>
      </w:pPr>
    </w:p>
    <w:p w:rsidR="00436FE4" w:rsidRPr="0014631E" w:rsidRDefault="00436FE4" w:rsidP="00436FE4">
      <w:pPr>
        <w:tabs>
          <w:tab w:val="left" w:pos="-1440"/>
          <w:tab w:val="left" w:pos="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000000"/>
        </w:rPr>
      </w:pPr>
      <w:r w:rsidRPr="0014631E">
        <w:rPr>
          <w:b/>
          <w:color w:val="000000"/>
        </w:rPr>
        <w:t>Satisfactory</w:t>
      </w:r>
    </w:p>
    <w:p w:rsidR="00436FE4" w:rsidRDefault="00436FE4" w:rsidP="00436FE4">
      <w:pPr>
        <w:ind w:left="2880" w:hanging="2880"/>
      </w:pPr>
      <w:r w:rsidRPr="0014631E">
        <w:rPr>
          <w:b/>
          <w:color w:val="000000"/>
        </w:rPr>
        <w:t>Performance</w:t>
      </w:r>
      <w:r>
        <w:rPr>
          <w:color w:val="000000"/>
        </w:rPr>
        <w:tab/>
      </w:r>
      <w:r>
        <w:t xml:space="preserve">Course performance will be evaluated based on successful completion of course assignments. </w:t>
      </w:r>
    </w:p>
    <w:p w:rsidR="00DE44D0" w:rsidRDefault="00DE44D0" w:rsidP="007C0546">
      <w:pPr>
        <w:tabs>
          <w:tab w:val="left" w:pos="0"/>
          <w:tab w:val="left" w:pos="28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color w:val="000000"/>
        </w:rPr>
      </w:pPr>
    </w:p>
    <w:p w:rsidR="007668BE" w:rsidRDefault="007C0546" w:rsidP="00115FE8">
      <w:pPr>
        <w:tabs>
          <w:tab w:val="left" w:pos="0"/>
          <w:tab w:val="left" w:pos="28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color w:val="000000"/>
        </w:rPr>
      </w:pPr>
      <w:r>
        <w:rPr>
          <w:b/>
          <w:color w:val="000000"/>
        </w:rPr>
        <w:t>Exams</w:t>
      </w:r>
      <w:r w:rsidR="00436FE4">
        <w:rPr>
          <w:color w:val="000000"/>
        </w:rPr>
        <w:tab/>
      </w:r>
      <w:r w:rsidR="00115FE8">
        <w:rPr>
          <w:color w:val="000000"/>
        </w:rPr>
        <w:t xml:space="preserve">You will have four exams and a final which will be </w:t>
      </w:r>
      <w:r w:rsidR="00436FE4">
        <w:rPr>
          <w:color w:val="000000"/>
        </w:rPr>
        <w:t xml:space="preserve">available only under the </w:t>
      </w:r>
      <w:r>
        <w:rPr>
          <w:color w:val="000000"/>
        </w:rPr>
        <w:t>s</w:t>
      </w:r>
      <w:r w:rsidR="00115FE8">
        <w:rPr>
          <w:color w:val="000000"/>
        </w:rPr>
        <w:t>upervision of a proctor.  Fifty</w:t>
      </w:r>
      <w:r>
        <w:rPr>
          <w:color w:val="000000"/>
        </w:rPr>
        <w:t xml:space="preserve"> </w:t>
      </w:r>
      <w:r w:rsidR="00436FE4">
        <w:rPr>
          <w:color w:val="000000"/>
        </w:rPr>
        <w:t xml:space="preserve">minutes will be allowed for </w:t>
      </w:r>
      <w:r w:rsidR="0038427E">
        <w:rPr>
          <w:color w:val="000000"/>
        </w:rPr>
        <w:t>each of the four</w:t>
      </w:r>
      <w:r w:rsidR="00115FE8">
        <w:rPr>
          <w:color w:val="000000"/>
        </w:rPr>
        <w:t xml:space="preserve"> exam</w:t>
      </w:r>
      <w:r w:rsidR="0038427E">
        <w:rPr>
          <w:color w:val="000000"/>
        </w:rPr>
        <w:t>s and 90 min for the final exam</w:t>
      </w:r>
      <w:r w:rsidR="00436FE4">
        <w:rPr>
          <w:color w:val="000000"/>
        </w:rPr>
        <w:t>.</w:t>
      </w:r>
    </w:p>
    <w:p w:rsidR="007668BE" w:rsidRDefault="007668BE" w:rsidP="007668BE">
      <w:pPr>
        <w:tabs>
          <w:tab w:val="left" w:pos="0"/>
          <w:tab w:val="left" w:pos="28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/>
        <w:rPr>
          <w:color w:val="000000"/>
        </w:rPr>
      </w:pPr>
    </w:p>
    <w:p w:rsidR="00436FE4" w:rsidRDefault="007C0546" w:rsidP="007668BE">
      <w:pPr>
        <w:tabs>
          <w:tab w:val="left" w:pos="0"/>
          <w:tab w:val="left" w:pos="28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/>
        <w:rPr>
          <w:color w:val="000000"/>
        </w:rPr>
      </w:pPr>
      <w:r>
        <w:rPr>
          <w:color w:val="000000"/>
        </w:rPr>
        <w:t xml:space="preserve">If </w:t>
      </w:r>
      <w:r w:rsidR="00115FE8">
        <w:rPr>
          <w:color w:val="000000"/>
        </w:rPr>
        <w:t>you take more time than the</w:t>
      </w:r>
      <w:r>
        <w:rPr>
          <w:color w:val="000000"/>
        </w:rPr>
        <w:t xml:space="preserve"> </w:t>
      </w:r>
      <w:r w:rsidR="00436FE4">
        <w:rPr>
          <w:color w:val="000000"/>
        </w:rPr>
        <w:t>exam</w:t>
      </w:r>
      <w:r w:rsidR="00115FE8">
        <w:rPr>
          <w:color w:val="000000"/>
        </w:rPr>
        <w:t>s</w:t>
      </w:r>
      <w:r w:rsidR="00436FE4">
        <w:rPr>
          <w:color w:val="000000"/>
        </w:rPr>
        <w:t xml:space="preserve"> allows, your score will be deducted </w:t>
      </w:r>
      <w:r w:rsidR="003423C4">
        <w:rPr>
          <w:color w:val="000000"/>
        </w:rPr>
        <w:t xml:space="preserve">by </w:t>
      </w:r>
      <w:r w:rsidR="00436FE4">
        <w:rPr>
          <w:color w:val="000000"/>
        </w:rPr>
        <w:t>the points of one question each minute in overtime.</w:t>
      </w:r>
    </w:p>
    <w:p w:rsidR="007668BE" w:rsidRDefault="007668BE" w:rsidP="007668BE">
      <w:pPr>
        <w:tabs>
          <w:tab w:val="left" w:pos="0"/>
          <w:tab w:val="left" w:pos="28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/>
        <w:rPr>
          <w:color w:val="000000"/>
        </w:rPr>
      </w:pPr>
    </w:p>
    <w:p w:rsidR="00436FE4" w:rsidRDefault="00115FE8" w:rsidP="007668BE">
      <w:pPr>
        <w:tabs>
          <w:tab w:val="left" w:pos="0"/>
          <w:tab w:val="left" w:pos="28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/>
        <w:rPr>
          <w:color w:val="000000"/>
        </w:rPr>
      </w:pPr>
      <w:r>
        <w:rPr>
          <w:color w:val="000000"/>
        </w:rPr>
        <w:t>You may take</w:t>
      </w:r>
      <w:r w:rsidR="00436FE4">
        <w:rPr>
          <w:color w:val="000000"/>
        </w:rPr>
        <w:t xml:space="preserve"> </w:t>
      </w:r>
      <w:r>
        <w:rPr>
          <w:color w:val="000000"/>
        </w:rPr>
        <w:t>the</w:t>
      </w:r>
      <w:r w:rsidR="007C0546">
        <w:rPr>
          <w:color w:val="000000"/>
        </w:rPr>
        <w:t xml:space="preserve"> </w:t>
      </w:r>
      <w:r w:rsidR="00436FE4">
        <w:rPr>
          <w:color w:val="000000"/>
        </w:rPr>
        <w:t>exam</w:t>
      </w:r>
      <w:r>
        <w:rPr>
          <w:color w:val="000000"/>
        </w:rPr>
        <w:t>s</w:t>
      </w:r>
      <w:r w:rsidR="00436FE4">
        <w:rPr>
          <w:color w:val="000000"/>
        </w:rPr>
        <w:t xml:space="preserve"> only once.  You must complete the exam</w:t>
      </w:r>
      <w:r>
        <w:rPr>
          <w:color w:val="000000"/>
        </w:rPr>
        <w:t>s</w:t>
      </w:r>
      <w:r w:rsidR="00436FE4">
        <w:rPr>
          <w:color w:val="000000"/>
        </w:rPr>
        <w:t xml:space="preserve"> once you start it.  You may NO</w:t>
      </w:r>
      <w:r>
        <w:rPr>
          <w:color w:val="000000"/>
        </w:rPr>
        <w:t>T come back to the exam</w:t>
      </w:r>
      <w:r w:rsidR="00436FE4">
        <w:rPr>
          <w:color w:val="000000"/>
        </w:rPr>
        <w:t xml:space="preserve"> later.  If you are disconnected during an exam, contact the instructor immediately and then send an e-mail to </w:t>
      </w:r>
      <w:r w:rsidR="00436FE4">
        <w:rPr>
          <w:rStyle w:val="Hypertext"/>
          <w:color w:val="FF0000"/>
        </w:rPr>
        <w:t>blackboard@missouri.edu</w:t>
      </w:r>
      <w:r w:rsidR="00436FE4">
        <w:rPr>
          <w:color w:val="000000"/>
        </w:rPr>
        <w:t xml:space="preserve"> with your name, username, c</w:t>
      </w:r>
      <w:r>
        <w:rPr>
          <w:color w:val="000000"/>
        </w:rPr>
        <w:t>ourse name, title of the</w:t>
      </w:r>
      <w:r w:rsidR="00436FE4">
        <w:rPr>
          <w:color w:val="000000"/>
        </w:rPr>
        <w:t xml:space="preserve"> exam, and a description of the problem.  To ensure your answers are logged, click </w:t>
      </w:r>
      <w:r w:rsidR="00436FE4">
        <w:rPr>
          <w:rFonts w:ascii="WP TypographicSymbols" w:hAnsi="WP TypographicSymbols"/>
          <w:color w:val="000000"/>
        </w:rPr>
        <w:t>“</w:t>
      </w:r>
      <w:r w:rsidR="00436FE4">
        <w:rPr>
          <w:color w:val="000000"/>
        </w:rPr>
        <w:t>Save</w:t>
      </w:r>
      <w:r w:rsidR="00436FE4">
        <w:rPr>
          <w:rFonts w:ascii="WP TypographicSymbols" w:hAnsi="WP TypographicSymbols"/>
          <w:color w:val="000000"/>
        </w:rPr>
        <w:t>”</w:t>
      </w:r>
      <w:r w:rsidR="00436FE4">
        <w:rPr>
          <w:color w:val="000000"/>
        </w:rPr>
        <w:t xml:space="preserve"> at the bottom of the page every 2 to 3 questions.  </w:t>
      </w:r>
      <w:r w:rsidR="00436FE4">
        <w:rPr>
          <w:color w:val="000000"/>
        </w:rPr>
        <w:lastRenderedPageBreak/>
        <w:t xml:space="preserve">Click </w:t>
      </w:r>
      <w:r w:rsidR="00436FE4">
        <w:rPr>
          <w:rFonts w:ascii="WP TypographicSymbols" w:hAnsi="WP TypographicSymbols"/>
          <w:color w:val="000000"/>
        </w:rPr>
        <w:t>“</w:t>
      </w:r>
      <w:r w:rsidR="00436FE4">
        <w:rPr>
          <w:color w:val="000000"/>
        </w:rPr>
        <w:t>Submit</w:t>
      </w:r>
      <w:r w:rsidR="00436FE4">
        <w:rPr>
          <w:rFonts w:ascii="WP TypographicSymbols" w:hAnsi="WP TypographicSymbols"/>
          <w:color w:val="000000"/>
        </w:rPr>
        <w:t>”</w:t>
      </w:r>
      <w:r w:rsidR="00436FE4">
        <w:rPr>
          <w:color w:val="000000"/>
        </w:rPr>
        <w:t xml:space="preserve"> after you have reviewed y</w:t>
      </w:r>
      <w:r>
        <w:rPr>
          <w:color w:val="000000"/>
        </w:rPr>
        <w:t xml:space="preserve">our answers to have the </w:t>
      </w:r>
      <w:r w:rsidR="00436FE4">
        <w:rPr>
          <w:color w:val="000000"/>
        </w:rPr>
        <w:t>exam graded.</w:t>
      </w:r>
    </w:p>
    <w:p w:rsidR="00436FE4" w:rsidRDefault="00436FE4" w:rsidP="00436FE4">
      <w:pPr>
        <w:tabs>
          <w:tab w:val="left" w:pos="-1440"/>
          <w:tab w:val="left" w:pos="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</w:rPr>
      </w:pPr>
    </w:p>
    <w:p w:rsidR="00436FE4" w:rsidRDefault="00436FE4" w:rsidP="00436FE4">
      <w:pPr>
        <w:ind w:left="2880" w:hanging="2880"/>
      </w:pPr>
      <w:r w:rsidRPr="0014631E">
        <w:rPr>
          <w:b/>
          <w:color w:val="000000"/>
        </w:rPr>
        <w:t>Scoring of Assignments</w:t>
      </w:r>
      <w:r>
        <w:rPr>
          <w:color w:val="000000"/>
        </w:rPr>
        <w:tab/>
      </w:r>
      <w:r w:rsidR="0014631E">
        <w:t xml:space="preserve">Participation in </w:t>
      </w:r>
      <w:r w:rsidR="003423C4">
        <w:t>assign</w:t>
      </w:r>
      <w:r>
        <w:t xml:space="preserve">ment blogs to discuss </w:t>
      </w:r>
      <w:r w:rsidR="003423C4">
        <w:t>r</w:t>
      </w:r>
      <w:r>
        <w:t>esponse</w:t>
      </w:r>
      <w:r w:rsidR="003423C4">
        <w:t>s to questions</w:t>
      </w:r>
    </w:p>
    <w:p w:rsidR="00436FE4" w:rsidRDefault="00140F94" w:rsidP="00436FE4">
      <w:pPr>
        <w:ind w:left="2160" w:firstLine="720"/>
      </w:pPr>
      <w:r>
        <w:t>Four</w:t>
      </w:r>
      <w:r w:rsidR="007C0546">
        <w:t xml:space="preserve"> multiple choice quizzes (50 minutes)</w:t>
      </w:r>
    </w:p>
    <w:p w:rsidR="00436FE4" w:rsidRDefault="005E31B0" w:rsidP="00436FE4">
      <w:pPr>
        <w:ind w:left="2160" w:firstLine="720"/>
      </w:pPr>
      <w:r>
        <w:t>One cumulative final exam (</w:t>
      </w:r>
      <w:r w:rsidR="0038427E">
        <w:t>9</w:t>
      </w:r>
      <w:r w:rsidR="00140F94">
        <w:t xml:space="preserve">0 </w:t>
      </w:r>
      <w:r w:rsidR="007C0546">
        <w:t>minutes)</w:t>
      </w:r>
    </w:p>
    <w:p w:rsidR="00436FE4" w:rsidRDefault="00436FE4" w:rsidP="00436FE4">
      <w:pPr>
        <w:tabs>
          <w:tab w:val="left" w:pos="-1440"/>
          <w:tab w:val="left" w:pos="0"/>
          <w:tab w:val="left" w:pos="28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color w:val="000000"/>
        </w:rPr>
      </w:pPr>
      <w:r>
        <w:rPr>
          <w:color w:val="000000"/>
        </w:rPr>
        <w:t xml:space="preserve"> </w:t>
      </w:r>
    </w:p>
    <w:p w:rsidR="00643274" w:rsidRDefault="00643274" w:rsidP="00643274">
      <w:pPr>
        <w:tabs>
          <w:tab w:val="left" w:pos="-1440"/>
        </w:tabs>
        <w:ind w:left="2880" w:hanging="2880"/>
      </w:pPr>
      <w:r w:rsidRPr="0014631E">
        <w:rPr>
          <w:b/>
          <w:color w:val="000000"/>
        </w:rPr>
        <w:t>Grading</w:t>
      </w:r>
      <w:r w:rsidR="003423C4">
        <w:tab/>
      </w:r>
      <w:proofErr w:type="spellStart"/>
      <w:r w:rsidR="003423C4">
        <w:t>G</w:t>
      </w:r>
      <w:r>
        <w:t>rading</w:t>
      </w:r>
      <w:proofErr w:type="spellEnd"/>
      <w:r>
        <w:t xml:space="preserve"> scale </w:t>
      </w:r>
      <w:r w:rsidR="000758E7">
        <w:t>for BIOMED 4120</w:t>
      </w:r>
      <w:r w:rsidR="003423C4">
        <w:t xml:space="preserve"> will be A to F as outlined below.</w:t>
      </w:r>
    </w:p>
    <w:p w:rsidR="00643274" w:rsidRDefault="00643274" w:rsidP="00643274"/>
    <w:p w:rsidR="00643274" w:rsidRDefault="00643274" w:rsidP="00643274">
      <w:pPr>
        <w:tabs>
          <w:tab w:val="left" w:pos="-1440"/>
        </w:tabs>
        <w:ind w:left="5040" w:hanging="1440"/>
      </w:pPr>
      <w:r>
        <w:t xml:space="preserve">96-100% =  </w:t>
      </w:r>
      <w:r>
        <w:tab/>
        <w:t>A</w:t>
      </w:r>
    </w:p>
    <w:p w:rsidR="00643274" w:rsidRDefault="00643274" w:rsidP="00643274">
      <w:pPr>
        <w:tabs>
          <w:tab w:val="left" w:pos="-1440"/>
        </w:tabs>
        <w:ind w:left="5040" w:hanging="1440"/>
      </w:pPr>
      <w:r>
        <w:t xml:space="preserve">91-95%   =  </w:t>
      </w:r>
      <w:r>
        <w:tab/>
        <w:t>A-</w:t>
      </w:r>
    </w:p>
    <w:p w:rsidR="00643274" w:rsidRDefault="00643274" w:rsidP="00643274">
      <w:pPr>
        <w:tabs>
          <w:tab w:val="left" w:pos="-1440"/>
        </w:tabs>
        <w:ind w:left="5040" w:hanging="1440"/>
      </w:pPr>
      <w:r>
        <w:t xml:space="preserve">88-90%   = </w:t>
      </w:r>
      <w:r>
        <w:tab/>
        <w:t>B+</w:t>
      </w:r>
    </w:p>
    <w:p w:rsidR="00643274" w:rsidRDefault="00643274" w:rsidP="00643274">
      <w:pPr>
        <w:tabs>
          <w:tab w:val="left" w:pos="-1440"/>
        </w:tabs>
        <w:ind w:left="5040" w:hanging="1440"/>
      </w:pPr>
      <w:r>
        <w:t>84-87</w:t>
      </w:r>
      <w:proofErr w:type="gramStart"/>
      <w:r>
        <w:t>%  =</w:t>
      </w:r>
      <w:proofErr w:type="gramEnd"/>
      <w:r>
        <w:t xml:space="preserve">  </w:t>
      </w:r>
      <w:r>
        <w:tab/>
        <w:t>B</w:t>
      </w:r>
    </w:p>
    <w:p w:rsidR="00643274" w:rsidRDefault="00643274" w:rsidP="00643274">
      <w:pPr>
        <w:tabs>
          <w:tab w:val="left" w:pos="-1440"/>
        </w:tabs>
        <w:ind w:left="5040" w:hanging="1440"/>
      </w:pPr>
      <w:r>
        <w:t>81-83</w:t>
      </w:r>
      <w:proofErr w:type="gramStart"/>
      <w:r>
        <w:t>%  =</w:t>
      </w:r>
      <w:proofErr w:type="gramEnd"/>
      <w:r>
        <w:t xml:space="preserve">  </w:t>
      </w:r>
      <w:r>
        <w:tab/>
        <w:t>B-</w:t>
      </w:r>
    </w:p>
    <w:p w:rsidR="00643274" w:rsidRDefault="00643274" w:rsidP="00643274">
      <w:pPr>
        <w:tabs>
          <w:tab w:val="left" w:pos="-1440"/>
        </w:tabs>
        <w:ind w:left="5040" w:hanging="1440"/>
      </w:pPr>
      <w:r>
        <w:t>71-80</w:t>
      </w:r>
      <w:proofErr w:type="gramStart"/>
      <w:r>
        <w:t>%  =</w:t>
      </w:r>
      <w:proofErr w:type="gramEnd"/>
      <w:r>
        <w:t xml:space="preserve">  </w:t>
      </w:r>
      <w:r>
        <w:tab/>
        <w:t>C</w:t>
      </w:r>
    </w:p>
    <w:p w:rsidR="00643274" w:rsidRDefault="00643274" w:rsidP="00643274">
      <w:pPr>
        <w:tabs>
          <w:tab w:val="left" w:pos="-1440"/>
        </w:tabs>
        <w:ind w:left="5040" w:hanging="1440"/>
      </w:pPr>
      <w:r>
        <w:t>61-70</w:t>
      </w:r>
      <w:proofErr w:type="gramStart"/>
      <w:r>
        <w:t>%  =</w:t>
      </w:r>
      <w:proofErr w:type="gramEnd"/>
      <w:r>
        <w:t xml:space="preserve">  </w:t>
      </w:r>
      <w:r>
        <w:tab/>
        <w:t>D</w:t>
      </w:r>
    </w:p>
    <w:p w:rsidR="00643274" w:rsidRDefault="00643274" w:rsidP="00643274">
      <w:pPr>
        <w:tabs>
          <w:tab w:val="left" w:pos="-1440"/>
        </w:tabs>
        <w:rPr>
          <w:color w:val="000000"/>
        </w:rPr>
      </w:pPr>
      <w:r>
        <w:tab/>
      </w:r>
      <w:r>
        <w:tab/>
      </w:r>
      <w:r>
        <w:tab/>
      </w:r>
      <w:r>
        <w:tab/>
      </w:r>
      <w:r>
        <w:tab/>
        <w:t>60% or less =</w:t>
      </w:r>
      <w:r>
        <w:tab/>
        <w:t>F</w:t>
      </w:r>
    </w:p>
    <w:p w:rsidR="00643274" w:rsidRDefault="00643274" w:rsidP="00643274">
      <w:pPr>
        <w:tabs>
          <w:tab w:val="left" w:pos="-1440"/>
        </w:tabs>
        <w:rPr>
          <w:color w:val="000000"/>
        </w:rPr>
      </w:pPr>
    </w:p>
    <w:p w:rsidR="00643274" w:rsidRDefault="00643274" w:rsidP="00643274">
      <w:pPr>
        <w:tabs>
          <w:tab w:val="left" w:pos="-1440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Graduate grading </w:t>
      </w:r>
      <w:r w:rsidR="000758E7">
        <w:rPr>
          <w:color w:val="000000"/>
        </w:rPr>
        <w:t>(8401</w:t>
      </w:r>
      <w:r w:rsidR="003423C4">
        <w:rPr>
          <w:color w:val="000000"/>
        </w:rPr>
        <w:t xml:space="preserve">) </w:t>
      </w:r>
      <w:r w:rsidRPr="003423C4">
        <w:rPr>
          <w:b/>
          <w:color w:val="000000"/>
        </w:rPr>
        <w:t>will not include +/-</w:t>
      </w:r>
    </w:p>
    <w:p w:rsidR="00643274" w:rsidRDefault="00643274" w:rsidP="00643274">
      <w:pPr>
        <w:tabs>
          <w:tab w:val="left" w:pos="-1440"/>
        </w:tabs>
      </w:pPr>
      <w:r>
        <w:tab/>
      </w:r>
      <w:r>
        <w:tab/>
      </w:r>
      <w:r>
        <w:tab/>
      </w:r>
      <w:r>
        <w:tab/>
      </w:r>
      <w:r>
        <w:tab/>
        <w:t xml:space="preserve">90-100% =  </w:t>
      </w:r>
      <w:r>
        <w:tab/>
        <w:t>A</w:t>
      </w:r>
    </w:p>
    <w:p w:rsidR="00643274" w:rsidRDefault="00643274" w:rsidP="00643274">
      <w:pPr>
        <w:tabs>
          <w:tab w:val="left" w:pos="-1440"/>
        </w:tabs>
      </w:pPr>
      <w:r>
        <w:tab/>
      </w:r>
      <w:r>
        <w:tab/>
      </w:r>
      <w:r>
        <w:tab/>
      </w:r>
      <w:r>
        <w:tab/>
      </w:r>
      <w:r>
        <w:tab/>
        <w:t>80 – 89</w:t>
      </w:r>
      <w:proofErr w:type="gramStart"/>
      <w:r>
        <w:t>%  =</w:t>
      </w:r>
      <w:proofErr w:type="gramEnd"/>
      <w:r>
        <w:t xml:space="preserve">  </w:t>
      </w:r>
      <w:r>
        <w:tab/>
        <w:t>B</w:t>
      </w:r>
    </w:p>
    <w:p w:rsidR="00643274" w:rsidRDefault="00643274" w:rsidP="00643274">
      <w:pPr>
        <w:tabs>
          <w:tab w:val="left" w:pos="-1440"/>
        </w:tabs>
      </w:pPr>
      <w:r>
        <w:tab/>
      </w:r>
      <w:r>
        <w:tab/>
      </w:r>
      <w:r>
        <w:tab/>
      </w:r>
      <w:r>
        <w:tab/>
      </w:r>
      <w:r>
        <w:tab/>
        <w:t>70-79</w:t>
      </w:r>
      <w:proofErr w:type="gramStart"/>
      <w:r>
        <w:t>%  =</w:t>
      </w:r>
      <w:proofErr w:type="gramEnd"/>
      <w:r>
        <w:t xml:space="preserve">  </w:t>
      </w:r>
      <w:r>
        <w:tab/>
        <w:t>C</w:t>
      </w:r>
    </w:p>
    <w:p w:rsidR="00643274" w:rsidRDefault="00643274" w:rsidP="00643274">
      <w:pPr>
        <w:tabs>
          <w:tab w:val="left" w:pos="-1440"/>
        </w:tabs>
      </w:pPr>
      <w:r>
        <w:tab/>
      </w:r>
      <w:r>
        <w:tab/>
      </w:r>
      <w:r>
        <w:tab/>
      </w:r>
      <w:r>
        <w:tab/>
      </w:r>
      <w:r>
        <w:tab/>
        <w:t>65-69</w:t>
      </w:r>
      <w:proofErr w:type="gramStart"/>
      <w:r>
        <w:t>%  =</w:t>
      </w:r>
      <w:proofErr w:type="gramEnd"/>
      <w:r>
        <w:t xml:space="preserve">  </w:t>
      </w:r>
      <w:r>
        <w:tab/>
        <w:t>D</w:t>
      </w:r>
    </w:p>
    <w:p w:rsidR="007C0546" w:rsidRDefault="00643274" w:rsidP="00DE44D0">
      <w:pPr>
        <w:tabs>
          <w:tab w:val="left" w:pos="-1440"/>
        </w:tabs>
      </w:pPr>
      <w:r>
        <w:tab/>
      </w:r>
      <w:r>
        <w:tab/>
      </w:r>
      <w:r>
        <w:tab/>
      </w:r>
      <w:r>
        <w:tab/>
      </w:r>
      <w:r>
        <w:tab/>
        <w:t>64% or less =</w:t>
      </w:r>
      <w:r>
        <w:tab/>
        <w:t>F</w:t>
      </w:r>
    </w:p>
    <w:p w:rsidR="000758E7" w:rsidRPr="00DE44D0" w:rsidRDefault="000758E7" w:rsidP="00DE44D0">
      <w:pPr>
        <w:tabs>
          <w:tab w:val="left" w:pos="-1440"/>
        </w:tabs>
      </w:pPr>
    </w:p>
    <w:p w:rsidR="006541D3" w:rsidRDefault="006541D3" w:rsidP="008C1C03">
      <w:pPr>
        <w:tabs>
          <w:tab w:val="left" w:pos="-1440"/>
          <w:tab w:val="left" w:pos="0"/>
          <w:tab w:val="left" w:pos="36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0" w:lineRule="atLeast"/>
        <w:ind w:left="3600" w:hanging="3600"/>
        <w:rPr>
          <w:color w:val="000000"/>
        </w:rPr>
      </w:pPr>
    </w:p>
    <w:p w:rsidR="006541D3" w:rsidRDefault="006541D3" w:rsidP="008C1C03">
      <w:pPr>
        <w:tabs>
          <w:tab w:val="left" w:pos="-1440"/>
          <w:tab w:val="left" w:pos="0"/>
          <w:tab w:val="left" w:pos="36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0" w:lineRule="atLeast"/>
        <w:ind w:left="3600" w:hanging="3600"/>
        <w:rPr>
          <w:color w:val="000000"/>
        </w:rPr>
      </w:pPr>
    </w:p>
    <w:p w:rsidR="006541D3" w:rsidRDefault="006541D3" w:rsidP="008C1C03">
      <w:pPr>
        <w:tabs>
          <w:tab w:val="left" w:pos="-1440"/>
          <w:tab w:val="left" w:pos="0"/>
          <w:tab w:val="left" w:pos="36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0" w:lineRule="atLeast"/>
        <w:ind w:left="3600" w:hanging="3600"/>
        <w:rPr>
          <w:color w:val="000000"/>
        </w:rPr>
      </w:pPr>
    </w:p>
    <w:p w:rsidR="006541D3" w:rsidRDefault="006541D3" w:rsidP="008C1C03">
      <w:pPr>
        <w:tabs>
          <w:tab w:val="left" w:pos="-1440"/>
          <w:tab w:val="left" w:pos="0"/>
          <w:tab w:val="left" w:pos="36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0" w:lineRule="atLeast"/>
        <w:ind w:left="3600" w:hanging="3600"/>
        <w:rPr>
          <w:color w:val="000000"/>
        </w:rPr>
      </w:pPr>
    </w:p>
    <w:p w:rsidR="006541D3" w:rsidRDefault="006541D3" w:rsidP="008C1C03">
      <w:pPr>
        <w:tabs>
          <w:tab w:val="left" w:pos="-1440"/>
          <w:tab w:val="left" w:pos="0"/>
          <w:tab w:val="left" w:pos="36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0" w:lineRule="atLeast"/>
        <w:ind w:left="3600" w:hanging="3600"/>
        <w:rPr>
          <w:color w:val="000000"/>
        </w:rPr>
      </w:pPr>
    </w:p>
    <w:p w:rsidR="006541D3" w:rsidRDefault="006541D3" w:rsidP="008C1C03">
      <w:pPr>
        <w:tabs>
          <w:tab w:val="left" w:pos="-1440"/>
          <w:tab w:val="left" w:pos="0"/>
          <w:tab w:val="left" w:pos="36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0" w:lineRule="atLeast"/>
        <w:ind w:left="3600" w:hanging="3600"/>
        <w:rPr>
          <w:color w:val="000000"/>
        </w:rPr>
      </w:pPr>
    </w:p>
    <w:p w:rsidR="006541D3" w:rsidRDefault="006541D3" w:rsidP="008C1C03">
      <w:pPr>
        <w:tabs>
          <w:tab w:val="left" w:pos="-1440"/>
          <w:tab w:val="left" w:pos="0"/>
          <w:tab w:val="left" w:pos="36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0" w:lineRule="atLeast"/>
        <w:ind w:left="3600" w:hanging="3600"/>
        <w:rPr>
          <w:color w:val="000000"/>
        </w:rPr>
      </w:pPr>
    </w:p>
    <w:p w:rsidR="006541D3" w:rsidRDefault="006541D3" w:rsidP="008C1C03">
      <w:pPr>
        <w:tabs>
          <w:tab w:val="left" w:pos="-1440"/>
          <w:tab w:val="left" w:pos="0"/>
          <w:tab w:val="left" w:pos="36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0" w:lineRule="atLeast"/>
        <w:ind w:left="3600" w:hanging="3600"/>
        <w:rPr>
          <w:color w:val="000000"/>
        </w:rPr>
      </w:pPr>
    </w:p>
    <w:p w:rsidR="006541D3" w:rsidRDefault="006541D3" w:rsidP="008C1C03">
      <w:pPr>
        <w:tabs>
          <w:tab w:val="left" w:pos="-1440"/>
          <w:tab w:val="left" w:pos="0"/>
          <w:tab w:val="left" w:pos="36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0" w:lineRule="atLeast"/>
        <w:ind w:left="3600" w:hanging="3600"/>
        <w:rPr>
          <w:color w:val="000000"/>
        </w:rPr>
      </w:pPr>
    </w:p>
    <w:p w:rsidR="006541D3" w:rsidRDefault="006541D3" w:rsidP="006541D3">
      <w:pPr>
        <w:tabs>
          <w:tab w:val="left" w:pos="-1440"/>
          <w:tab w:val="left" w:pos="0"/>
          <w:tab w:val="left" w:pos="36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0" w:lineRule="atLeast"/>
        <w:ind w:left="3600" w:hanging="3600"/>
        <w:rPr>
          <w:color w:val="000000"/>
        </w:rPr>
      </w:pPr>
    </w:p>
    <w:p w:rsidR="00140F94" w:rsidRDefault="00140F94" w:rsidP="003E417C">
      <w:pPr>
        <w:tabs>
          <w:tab w:val="left" w:pos="-1440"/>
          <w:tab w:val="left" w:pos="0"/>
          <w:tab w:val="left" w:pos="36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0" w:lineRule="atLeast"/>
        <w:rPr>
          <w:color w:val="000000"/>
          <w:sz w:val="28"/>
          <w:szCs w:val="28"/>
        </w:rPr>
      </w:pPr>
    </w:p>
    <w:p w:rsidR="00140F94" w:rsidRDefault="00140F94" w:rsidP="003E417C">
      <w:pPr>
        <w:tabs>
          <w:tab w:val="left" w:pos="-1440"/>
          <w:tab w:val="left" w:pos="0"/>
          <w:tab w:val="left" w:pos="36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0" w:lineRule="atLeast"/>
        <w:rPr>
          <w:color w:val="000000"/>
          <w:sz w:val="28"/>
          <w:szCs w:val="28"/>
        </w:rPr>
      </w:pPr>
    </w:p>
    <w:p w:rsidR="00140F94" w:rsidRDefault="00140F94" w:rsidP="003E417C">
      <w:pPr>
        <w:tabs>
          <w:tab w:val="left" w:pos="-1440"/>
          <w:tab w:val="left" w:pos="0"/>
          <w:tab w:val="left" w:pos="36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0" w:lineRule="atLeast"/>
        <w:rPr>
          <w:color w:val="000000"/>
          <w:sz w:val="28"/>
          <w:szCs w:val="28"/>
        </w:rPr>
      </w:pPr>
    </w:p>
    <w:p w:rsidR="005E31B0" w:rsidRDefault="005E31B0" w:rsidP="003E417C">
      <w:pPr>
        <w:tabs>
          <w:tab w:val="left" w:pos="-1440"/>
          <w:tab w:val="left" w:pos="0"/>
          <w:tab w:val="left" w:pos="36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0" w:lineRule="atLeast"/>
        <w:rPr>
          <w:color w:val="000000"/>
          <w:sz w:val="28"/>
          <w:szCs w:val="28"/>
        </w:rPr>
      </w:pPr>
    </w:p>
    <w:p w:rsidR="005E31B0" w:rsidRDefault="005E31B0" w:rsidP="003E417C">
      <w:pPr>
        <w:tabs>
          <w:tab w:val="left" w:pos="-1440"/>
          <w:tab w:val="left" w:pos="0"/>
          <w:tab w:val="left" w:pos="36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0" w:lineRule="atLeast"/>
        <w:rPr>
          <w:color w:val="000000"/>
          <w:sz w:val="28"/>
          <w:szCs w:val="28"/>
        </w:rPr>
      </w:pPr>
    </w:p>
    <w:p w:rsidR="005E31B0" w:rsidRDefault="005E31B0" w:rsidP="003E417C">
      <w:pPr>
        <w:tabs>
          <w:tab w:val="left" w:pos="-1440"/>
          <w:tab w:val="left" w:pos="0"/>
          <w:tab w:val="left" w:pos="36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0" w:lineRule="atLeast"/>
        <w:rPr>
          <w:color w:val="000000"/>
          <w:sz w:val="28"/>
          <w:szCs w:val="28"/>
        </w:rPr>
      </w:pPr>
    </w:p>
    <w:p w:rsidR="005E31B0" w:rsidRDefault="005E31B0" w:rsidP="003E417C">
      <w:pPr>
        <w:tabs>
          <w:tab w:val="left" w:pos="-1440"/>
          <w:tab w:val="left" w:pos="0"/>
          <w:tab w:val="left" w:pos="36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0" w:lineRule="atLeast"/>
        <w:rPr>
          <w:color w:val="000000"/>
          <w:sz w:val="28"/>
          <w:szCs w:val="28"/>
        </w:rPr>
      </w:pPr>
    </w:p>
    <w:p w:rsidR="008C1C03" w:rsidRPr="006541D3" w:rsidRDefault="005E31B0" w:rsidP="003E417C">
      <w:pPr>
        <w:tabs>
          <w:tab w:val="left" w:pos="-1440"/>
          <w:tab w:val="left" w:pos="0"/>
          <w:tab w:val="left" w:pos="36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C</w:t>
      </w:r>
      <w:r w:rsidR="006541D3" w:rsidRPr="006541D3">
        <w:rPr>
          <w:color w:val="000000"/>
          <w:sz w:val="28"/>
          <w:szCs w:val="28"/>
        </w:rPr>
        <w:t>ourse Schedule</w:t>
      </w:r>
    </w:p>
    <w:p w:rsidR="006541D3" w:rsidRDefault="006541D3" w:rsidP="006541D3">
      <w:pPr>
        <w:tabs>
          <w:tab w:val="left" w:pos="-1440"/>
          <w:tab w:val="left" w:pos="0"/>
          <w:tab w:val="left" w:pos="36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0" w:lineRule="atLeast"/>
        <w:ind w:left="3600" w:hanging="3600"/>
        <w:rPr>
          <w:color w:val="000000"/>
        </w:rPr>
      </w:pPr>
    </w:p>
    <w:tbl>
      <w:tblPr>
        <w:tblW w:w="10572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773"/>
        <w:gridCol w:w="1353"/>
        <w:gridCol w:w="1548"/>
        <w:gridCol w:w="1128"/>
        <w:gridCol w:w="5770"/>
      </w:tblGrid>
      <w:tr w:rsidR="006541D3" w:rsidTr="006541D3">
        <w:trPr>
          <w:trHeight w:val="29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69696" w:fill="auto"/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Unit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Session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Module #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Topic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1 General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Introduction I 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History and Scope of Toxicology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Principles</w:t>
            </w: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Principles of Toxicology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Mechanisms of Toxicity I 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Introduction  II 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7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Mechanisms of Toxicity II 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Risk Assessment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2 Disposition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ADME 3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Absorption and Distribution of Toxicants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of Toxicants</w:t>
            </w: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Biotransformation (Metabolism of Toxicants)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Toxicokinetics</w:t>
            </w:r>
            <w:proofErr w:type="spellEnd"/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Mechanisms I 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7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00" w:fill="auto"/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</w:rPr>
              <w:t>EXAM 1 (LECTURES 1-8/MODULES 1-9)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Chemical Carcinogenesis (Cancer)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Genetic Toxicology (Mutagenesis+) 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3 System I 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Mechanisms II &amp;5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Developmental Toxicology (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Teratogenesis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+)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Blood Immune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Intro to Blood &amp; Toxic Responses of  Blood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Systems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Intro to Immune System and Toxic Responses of Immune System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Vessels/Heart  6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Intro to Cardiovascular System &amp; Toxic Responses of Cardiovascular System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&amp; Lungs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Intro to Pulmonary System &amp;Toxic Responses of Lungs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</w:rPr>
              <w:t>EXAM 2 (LECTURES 9-15/MODULES 11-17)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4 System II </w:t>
            </w: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Liver 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7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Intro to GI Tract and Toxic Responses of GI Tract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Intro to Liver and Toxic Responses of Liver I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Toxic Responses of Liver II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Kidneys &amp;  8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Intro to Kidneys and Toxic Responses of Kidneys 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Nervous System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Intro to the Nervous System &amp; Toxic Responses of Nervous System I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Toxic Responses of Nervous System II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5 System III &amp;  </w:t>
            </w: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Reproductive &amp; 9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Intro to Reproductive System &amp; Toxic Responses of Reproductive System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 Pesticides</w:t>
            </w: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Endocrine Systems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Intro to Endocrine System and Toxic Responses of Endocrine System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Intro to Skin and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Phosensitization</w:t>
            </w:r>
            <w:proofErr w:type="spellEnd"/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Pesticides 10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00" w:fill="auto"/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</w:rPr>
              <w:t>EXAM 3 (LECTURES 16-24/MODULES 19-27)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Intro to Pesticides &amp;Toxic Effects of Pesticides I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Toxic Effects of Pesticides II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6 Metals,    </w:t>
            </w: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Metals &amp; 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Intro to Metals &amp; Toxic Effects of Metals I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Radiation, </w:t>
            </w: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Radiation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Toxic Effects of Metals II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Solvents, &amp;</w:t>
            </w: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 w:rsidP="005E31B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Intro to Radiation &amp; Toxic Effects of Radiation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     Natural Toxins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Vapors/Solvents 12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Intro to Vapors and Solvents &amp; Toxic Effects of   Vapors and Solvents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Natural Toxins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Intro to  Bacterial Toxins &amp; Blue-green Algal Toxins (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Cyanobacterial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 Toxins)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Intro to Fungal Toxins (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Mycotoxins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) 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7 Plant &amp; Animal</w:t>
            </w: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Plant and Animal 13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Intro to Selected Plant Toxins (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Phytotoxins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Toxins and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Toxins and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Intro to Terrestrial Animal Venoms and Poisons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Toxicological</w:t>
            </w: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Venoms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</w:rPr>
              <w:t>EXAM 4 (LECTURES 25-34/MODULES 28-37)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Disciplines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Aharoni" w:eastAsiaTheme="minorHAnsi" w:hAnsi="Calibri" w:cs="Aharon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haroni" w:eastAsiaTheme="minorHAnsi" w:hAnsi="Calibri" w:cs="Aharoni"/>
                <w:b/>
                <w:bCs/>
                <w:color w:val="000000"/>
                <w:sz w:val="16"/>
                <w:szCs w:val="16"/>
              </w:rPr>
              <w:t>THANKSGIVING BREAK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 Toxicological 14  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Environmental Toxicology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Disciplines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Food Toxicology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Clinical and Forensic Toxicology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8 Occupational 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Occupational 15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Occupational Toxicology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Toxicology Unit</w:t>
            </w: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Toxicology Session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541D3" w:rsidRDefault="002A79CB" w:rsidP="002A79CB">
            <w:pPr>
              <w:autoSpaceDE w:val="0"/>
              <w:autoSpaceDN w:val="0"/>
              <w:adjustRightInd w:val="0"/>
              <w:spacing w:before="240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</w:rPr>
              <w:t>USE THIS TIME TO STUDY FOR THE FINAL EXAM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541D3" w:rsidRDefault="006541D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</w:rPr>
              <w:t>CUMULATIVE (COMPREHENSIVE) FINAL EXAM</w:t>
            </w:r>
          </w:p>
        </w:tc>
      </w:tr>
      <w:tr w:rsidR="006541D3" w:rsidTr="006541D3">
        <w:trPr>
          <w:trHeight w:val="29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</w:tcPr>
          <w:p w:rsidR="006541D3" w:rsidRDefault="006541D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</w:tbl>
    <w:p w:rsidR="008C1C03" w:rsidRDefault="008C1C03" w:rsidP="008C1C03">
      <w:pPr>
        <w:tabs>
          <w:tab w:val="left" w:pos="-1440"/>
          <w:tab w:val="left" w:pos="0"/>
          <w:tab w:val="left" w:pos="36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0" w:lineRule="atLeast"/>
        <w:ind w:left="3600" w:hanging="3600"/>
        <w:rPr>
          <w:color w:val="000000"/>
        </w:rPr>
      </w:pPr>
    </w:p>
    <w:sectPr w:rsidR="008C1C03">
      <w:headerReference w:type="even" r:id="rId9"/>
      <w:headerReference w:type="default" r:id="rId10"/>
      <w:footerReference w:type="even" r:id="rId11"/>
      <w:footerReference w:type="default" r:id="rId12"/>
      <w:type w:val="continuous"/>
      <w:pgSz w:w="12240" w:h="15840"/>
      <w:pgMar w:top="1440" w:right="1440" w:bottom="2250" w:left="1440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AC5" w:rsidRDefault="006D7AC5">
      <w:r>
        <w:separator/>
      </w:r>
    </w:p>
  </w:endnote>
  <w:endnote w:type="continuationSeparator" w:id="0">
    <w:p w:rsidR="006D7AC5" w:rsidRDefault="006D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C8A" w:rsidRDefault="006D7AC5">
    <w:pPr>
      <w:tabs>
        <w:tab w:val="left" w:pos="-3600"/>
        <w:tab w:val="left" w:pos="-720"/>
        <w:tab w:val="left" w:pos="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C8A" w:rsidRDefault="006D7AC5">
    <w:pPr>
      <w:tabs>
        <w:tab w:val="left" w:pos="-3600"/>
        <w:tab w:val="left" w:pos="-720"/>
        <w:tab w:val="left" w:pos="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AC5" w:rsidRDefault="006D7AC5">
      <w:r>
        <w:separator/>
      </w:r>
    </w:p>
  </w:footnote>
  <w:footnote w:type="continuationSeparator" w:id="0">
    <w:p w:rsidR="006D7AC5" w:rsidRDefault="006D7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C8A" w:rsidRDefault="006D7AC5">
    <w:pPr>
      <w:tabs>
        <w:tab w:val="left" w:pos="-3600"/>
        <w:tab w:val="left" w:pos="-720"/>
        <w:tab w:val="left" w:pos="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C8A" w:rsidRDefault="006D7AC5">
    <w:pPr>
      <w:tabs>
        <w:tab w:val="left" w:pos="-3600"/>
        <w:tab w:val="left" w:pos="-720"/>
        <w:tab w:val="left" w:pos="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72FDD"/>
    <w:multiLevelType w:val="hybridMultilevel"/>
    <w:tmpl w:val="EAFA2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CE6C44"/>
    <w:multiLevelType w:val="hybridMultilevel"/>
    <w:tmpl w:val="621C4AB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E4"/>
    <w:rsid w:val="00017217"/>
    <w:rsid w:val="000465E9"/>
    <w:rsid w:val="00062D0F"/>
    <w:rsid w:val="00063D36"/>
    <w:rsid w:val="000758E7"/>
    <w:rsid w:val="000A56C3"/>
    <w:rsid w:val="00115FE8"/>
    <w:rsid w:val="00140F94"/>
    <w:rsid w:val="0014631E"/>
    <w:rsid w:val="001C7617"/>
    <w:rsid w:val="001D08F2"/>
    <w:rsid w:val="00245D23"/>
    <w:rsid w:val="002A79CB"/>
    <w:rsid w:val="003423C4"/>
    <w:rsid w:val="00347B3A"/>
    <w:rsid w:val="0038427E"/>
    <w:rsid w:val="003E417C"/>
    <w:rsid w:val="00436FE4"/>
    <w:rsid w:val="004454A4"/>
    <w:rsid w:val="00445803"/>
    <w:rsid w:val="004844AB"/>
    <w:rsid w:val="00504234"/>
    <w:rsid w:val="00523CF1"/>
    <w:rsid w:val="005472D6"/>
    <w:rsid w:val="005E31B0"/>
    <w:rsid w:val="00611516"/>
    <w:rsid w:val="00643274"/>
    <w:rsid w:val="006541D3"/>
    <w:rsid w:val="006553B6"/>
    <w:rsid w:val="00663AE9"/>
    <w:rsid w:val="00674C22"/>
    <w:rsid w:val="00682E23"/>
    <w:rsid w:val="006D7AC5"/>
    <w:rsid w:val="00722C48"/>
    <w:rsid w:val="007668BE"/>
    <w:rsid w:val="007C023E"/>
    <w:rsid w:val="007C0546"/>
    <w:rsid w:val="007E0932"/>
    <w:rsid w:val="007E17BA"/>
    <w:rsid w:val="00802DBF"/>
    <w:rsid w:val="00806AB1"/>
    <w:rsid w:val="0084531E"/>
    <w:rsid w:val="008541DD"/>
    <w:rsid w:val="00856233"/>
    <w:rsid w:val="008C1C03"/>
    <w:rsid w:val="008E5644"/>
    <w:rsid w:val="00926D5E"/>
    <w:rsid w:val="00A4538A"/>
    <w:rsid w:val="00B716D6"/>
    <w:rsid w:val="00BC7AAF"/>
    <w:rsid w:val="00C164E4"/>
    <w:rsid w:val="00CC01D2"/>
    <w:rsid w:val="00CD25FF"/>
    <w:rsid w:val="00CD4561"/>
    <w:rsid w:val="00D26291"/>
    <w:rsid w:val="00D36914"/>
    <w:rsid w:val="00DE44D0"/>
    <w:rsid w:val="00E0302B"/>
    <w:rsid w:val="00E10F84"/>
    <w:rsid w:val="00E329E2"/>
    <w:rsid w:val="00E62C1C"/>
    <w:rsid w:val="00EB35EE"/>
    <w:rsid w:val="00ED64C1"/>
    <w:rsid w:val="00EE0D2A"/>
    <w:rsid w:val="00F7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FAF038-F7E2-4251-942F-D40ADB5F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36FE4"/>
    <w:rPr>
      <w:color w:val="0000FF"/>
      <w:u w:val="single"/>
    </w:rPr>
  </w:style>
  <w:style w:type="character" w:customStyle="1" w:styleId="Hypertext">
    <w:name w:val="Hypertext"/>
    <w:rsid w:val="00436F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6FE4"/>
    <w:pPr>
      <w:ind w:left="720"/>
    </w:pPr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F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F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4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dyc@missouri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anst@missouri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 Vet Med</Company>
  <LinksUpToDate>false</LinksUpToDate>
  <CharactersWithSpaces>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Kelly, June C.</dc:creator>
  <cp:lastModifiedBy>Kelly, June C.</cp:lastModifiedBy>
  <cp:revision>4</cp:revision>
  <cp:lastPrinted>2014-03-19T20:32:00Z</cp:lastPrinted>
  <dcterms:created xsi:type="dcterms:W3CDTF">2014-10-15T15:22:00Z</dcterms:created>
  <dcterms:modified xsi:type="dcterms:W3CDTF">2014-10-15T15:51:00Z</dcterms:modified>
</cp:coreProperties>
</file>