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36" w:rsidRDefault="00020136" w:rsidP="00020136">
      <w:pPr>
        <w:ind w:left="1440" w:firstLine="720"/>
      </w:pPr>
    </w:p>
    <w:p w:rsidR="00020136" w:rsidRPr="004963DD" w:rsidRDefault="004963DD" w:rsidP="004963DD">
      <w:pPr>
        <w:ind w:left="1440"/>
        <w:rPr>
          <w:sz w:val="32"/>
          <w:szCs w:val="32"/>
        </w:rPr>
      </w:pPr>
      <w:r>
        <w:rPr>
          <w:sz w:val="32"/>
          <w:szCs w:val="32"/>
        </w:rPr>
        <w:t xml:space="preserve">       </w:t>
      </w:r>
      <w:r w:rsidR="00020136" w:rsidRPr="004963DD">
        <w:rPr>
          <w:sz w:val="32"/>
          <w:szCs w:val="32"/>
        </w:rPr>
        <w:t>BIOMED 4320/</w:t>
      </w:r>
      <w:r w:rsidR="007F636D" w:rsidRPr="004963DD">
        <w:rPr>
          <w:sz w:val="32"/>
          <w:szCs w:val="32"/>
        </w:rPr>
        <w:t xml:space="preserve">VMS </w:t>
      </w:r>
      <w:r w:rsidR="00737449">
        <w:rPr>
          <w:sz w:val="32"/>
          <w:szCs w:val="32"/>
        </w:rPr>
        <w:t>7320</w:t>
      </w:r>
      <w:bookmarkStart w:id="0" w:name="_GoBack"/>
      <w:bookmarkEnd w:id="0"/>
      <w:r w:rsidR="00020136" w:rsidRPr="004963DD">
        <w:rPr>
          <w:sz w:val="32"/>
          <w:szCs w:val="32"/>
        </w:rPr>
        <w:t xml:space="preserve">                                                                                                                                                                                </w:t>
      </w:r>
    </w:p>
    <w:p w:rsidR="00020136" w:rsidRPr="004963DD" w:rsidRDefault="004963DD" w:rsidP="00020136">
      <w:pPr>
        <w:ind w:firstLine="720"/>
        <w:rPr>
          <w:b/>
          <w:sz w:val="28"/>
          <w:szCs w:val="28"/>
        </w:rPr>
      </w:pPr>
      <w:r>
        <w:rPr>
          <w:b/>
        </w:rPr>
        <w:t xml:space="preserve">                      </w:t>
      </w:r>
      <w:r w:rsidR="00020136" w:rsidRPr="004963DD">
        <w:rPr>
          <w:b/>
          <w:sz w:val="28"/>
          <w:szCs w:val="28"/>
        </w:rPr>
        <w:t>Fundamentals of</w:t>
      </w:r>
      <w:r w:rsidR="00020136" w:rsidRPr="004963DD">
        <w:rPr>
          <w:b/>
        </w:rPr>
        <w:t xml:space="preserve"> </w:t>
      </w:r>
      <w:r w:rsidR="00020136" w:rsidRPr="004963DD">
        <w:rPr>
          <w:b/>
          <w:sz w:val="28"/>
          <w:szCs w:val="28"/>
        </w:rPr>
        <w:t>Small Animal Emergency and Critical Care</w:t>
      </w:r>
    </w:p>
    <w:p w:rsidR="00020136" w:rsidRDefault="00020136" w:rsidP="00020136">
      <w:pPr>
        <w:ind w:left="1440" w:firstLine="720"/>
        <w:rPr>
          <w:b/>
        </w:rPr>
      </w:pPr>
    </w:p>
    <w:p w:rsidR="00020136" w:rsidRDefault="00020136" w:rsidP="00020136">
      <w:pPr>
        <w:rPr>
          <w:b/>
        </w:rPr>
      </w:pPr>
    </w:p>
    <w:p w:rsidR="00020136" w:rsidRDefault="00020136" w:rsidP="00020136">
      <w:r>
        <w:rPr>
          <w:b/>
        </w:rPr>
        <w:t>COURSE PROFILE</w:t>
      </w:r>
    </w:p>
    <w:p w:rsidR="00020136" w:rsidRDefault="00020136" w:rsidP="00020136">
      <w:pPr>
        <w:ind w:left="2880" w:hanging="2880"/>
      </w:pPr>
    </w:p>
    <w:p w:rsidR="00020136" w:rsidRDefault="00020136" w:rsidP="00020136">
      <w:pPr>
        <w:ind w:left="2880" w:hanging="2880"/>
      </w:pPr>
    </w:p>
    <w:p w:rsidR="00020136" w:rsidRDefault="00020136" w:rsidP="00020136">
      <w:pPr>
        <w:ind w:left="2880" w:hanging="2880"/>
      </w:pPr>
      <w:r>
        <w:t>Course Description</w:t>
      </w:r>
      <w:r>
        <w:tab/>
        <w:t xml:space="preserve">This course will provide valuable knowledge and skills to work in a small animal emergency and critical care position. Characteristics of this skilled care include managing patients with rapidly deteriorating medical and surgical illnesses, major trauma, and life-threatening disease. These animals need trained personnel to address minute-to minute changes in status and condition. Veterinarians and veterinary technicians are valued members of the veterinary care team, and with teamwork, training, and development of skills discussed in this course, can save lives. </w:t>
      </w:r>
    </w:p>
    <w:p w:rsidR="00020136" w:rsidRDefault="00020136" w:rsidP="00020136"/>
    <w:p w:rsidR="00020136" w:rsidRDefault="00020136" w:rsidP="00020136"/>
    <w:p w:rsidR="00020136" w:rsidRDefault="00020136" w:rsidP="00020136">
      <w:r>
        <w:t>Instructor</w:t>
      </w:r>
      <w:r>
        <w:tab/>
      </w:r>
      <w:r>
        <w:tab/>
      </w:r>
      <w:r>
        <w:tab/>
        <w:t>Marie E. Kerl DVM, MPH</w:t>
      </w:r>
    </w:p>
    <w:p w:rsidR="00020136" w:rsidRDefault="00020136" w:rsidP="00020136">
      <w:pPr>
        <w:ind w:left="2880"/>
      </w:pPr>
      <w:proofErr w:type="spellStart"/>
      <w:r>
        <w:t>Diplomate</w:t>
      </w:r>
      <w:proofErr w:type="spellEnd"/>
      <w:r>
        <w:t>, American College of Veterinary Internal Medicine (Small Animal Internal Medicine)</w:t>
      </w:r>
    </w:p>
    <w:p w:rsidR="00020136" w:rsidRDefault="00020136" w:rsidP="00020136">
      <w:pPr>
        <w:ind w:left="2880"/>
      </w:pPr>
      <w:proofErr w:type="spellStart"/>
      <w:r>
        <w:t>Diplomate</w:t>
      </w:r>
      <w:proofErr w:type="spellEnd"/>
      <w:r>
        <w:t>, American College of Veterinary Emergency and Critical Care</w:t>
      </w:r>
    </w:p>
    <w:p w:rsidR="00020136" w:rsidRDefault="00020136" w:rsidP="00020136">
      <w:pPr>
        <w:ind w:left="2160" w:firstLine="720"/>
      </w:pPr>
      <w:r>
        <w:t>Associate Teaching Professor</w:t>
      </w:r>
    </w:p>
    <w:p w:rsidR="00020136" w:rsidRDefault="00020136" w:rsidP="00020136"/>
    <w:p w:rsidR="00020136" w:rsidRDefault="00020136" w:rsidP="00020136">
      <w:pPr>
        <w:ind w:left="2160" w:firstLine="720"/>
      </w:pPr>
      <w:r>
        <w:t>University of Missouri</w:t>
      </w:r>
    </w:p>
    <w:p w:rsidR="00020136" w:rsidRDefault="00020136" w:rsidP="00020136">
      <w:pPr>
        <w:ind w:left="2160" w:firstLine="720"/>
      </w:pPr>
      <w:r>
        <w:t>Department of Veterinary Medicine and Surgery</w:t>
      </w:r>
    </w:p>
    <w:p w:rsidR="00020136" w:rsidRDefault="00020136" w:rsidP="00020136">
      <w:pPr>
        <w:ind w:left="2160" w:firstLine="720"/>
      </w:pPr>
      <w:r>
        <w:t>900 East Campus Drive</w:t>
      </w:r>
    </w:p>
    <w:p w:rsidR="00020136" w:rsidRDefault="00020136" w:rsidP="00020136">
      <w:pPr>
        <w:ind w:left="2160" w:firstLine="720"/>
      </w:pPr>
      <w:r>
        <w:t>Columbia, MO 65211</w:t>
      </w:r>
    </w:p>
    <w:p w:rsidR="00020136" w:rsidRDefault="00020136" w:rsidP="00020136"/>
    <w:p w:rsidR="00020136" w:rsidRDefault="00020136" w:rsidP="00020136">
      <w:pPr>
        <w:ind w:left="2160" w:firstLine="720"/>
      </w:pPr>
      <w:r>
        <w:t>Telephone:</w:t>
      </w:r>
      <w:r>
        <w:tab/>
        <w:t>(573) 882-7821</w:t>
      </w:r>
    </w:p>
    <w:p w:rsidR="00020136" w:rsidRDefault="00020136" w:rsidP="00020136">
      <w:pPr>
        <w:ind w:left="2160" w:firstLine="720"/>
      </w:pPr>
      <w:r>
        <w:t>Cellular:</w:t>
      </w:r>
      <w:r>
        <w:tab/>
        <w:t>(573) 823-9369</w:t>
      </w:r>
    </w:p>
    <w:p w:rsidR="00020136" w:rsidRDefault="00020136" w:rsidP="00020136">
      <w:pPr>
        <w:ind w:left="2160" w:firstLine="720"/>
      </w:pPr>
      <w:r>
        <w:t>Fax:</w:t>
      </w:r>
      <w:r>
        <w:tab/>
      </w:r>
      <w:r>
        <w:tab/>
        <w:t>(573) 884-5444</w:t>
      </w:r>
    </w:p>
    <w:p w:rsidR="00020136" w:rsidRDefault="00020136" w:rsidP="00020136">
      <w:pPr>
        <w:ind w:left="2160" w:firstLine="720"/>
      </w:pPr>
      <w:r>
        <w:t>Email:</w:t>
      </w:r>
      <w:r>
        <w:tab/>
      </w:r>
      <w:r>
        <w:tab/>
      </w:r>
      <w:hyperlink r:id="rId5" w:history="1">
        <w:r>
          <w:rPr>
            <w:rStyle w:val="Hyperlink"/>
          </w:rPr>
          <w:t>KerlM@missouri.edu</w:t>
        </w:r>
      </w:hyperlink>
      <w:r>
        <w:t xml:space="preserve"> </w:t>
      </w:r>
    </w:p>
    <w:p w:rsidR="00020136" w:rsidRDefault="00020136" w:rsidP="003911B1">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r>
        <w:t>Major Objectives</w:t>
      </w:r>
      <w:r>
        <w:tab/>
        <w:t xml:space="preserve"> </w:t>
      </w:r>
      <w:r>
        <w:tab/>
        <w:t>At the end of this course, the student will be able to:</w:t>
      </w:r>
    </w:p>
    <w:p w:rsidR="00020136" w:rsidRDefault="00020136" w:rsidP="000201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Successfully triage multiple emergencies at once to rank severity of illness for delivery of care</w:t>
      </w:r>
    </w:p>
    <w:p w:rsidR="00020136" w:rsidRDefault="00020136" w:rsidP="000201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Understand how to assess and manage dogs and cats with acute or life-threatening illness such as respiratory distress, shock, acute abdomen, multiple trauma, and cardiovascular disease</w:t>
      </w:r>
    </w:p>
    <w:p w:rsidR="00020136" w:rsidRDefault="00020136" w:rsidP="000201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Prepare and administer fluids and medication by constant rate administration</w:t>
      </w:r>
    </w:p>
    <w:p w:rsidR="00020136" w:rsidRDefault="00020136" w:rsidP="000201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Perform and interpret critical care parameters such as pulse oximetry, end-title carbon dioxide, and blood gas parameters</w:t>
      </w:r>
    </w:p>
    <w:p w:rsidR="00020136" w:rsidRDefault="00020136" w:rsidP="00020136">
      <w:pPr>
        <w:pStyle w:val="ListParagraph"/>
        <w:numPr>
          <w:ilvl w:val="0"/>
          <w:numId w:val="1"/>
        </w:numPr>
      </w:pPr>
      <w:r>
        <w:rPr>
          <w:rFonts w:ascii="Times New Roman" w:hAnsi="Times New Roman" w:cs="Times New Roman"/>
          <w:sz w:val="24"/>
          <w:szCs w:val="24"/>
        </w:rPr>
        <w:t>Communicate effectively with clients presenting animals with acute, life-threatening illness</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ind w:left="2880" w:hanging="2880"/>
      </w:pPr>
      <w:r>
        <w:t>Prerequisites</w:t>
      </w:r>
      <w:r>
        <w:tab/>
        <w:t>Completion of an associate’s degree in veterinary technology or pre-clinical training in a veterinary curriculum is strongly recommended prior to enrolling in this course</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t>Delivery</w:t>
      </w:r>
      <w:r>
        <w:tab/>
        <w:t>100% online</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t>Organization</w:t>
      </w:r>
      <w:r>
        <w:tab/>
        <w:t xml:space="preserve">Course materials are located under the left-hand tab in the course Blackboard site under </w:t>
      </w:r>
      <w:r>
        <w:rPr>
          <w:rFonts w:ascii="WP TypographicSymbols" w:hAnsi="WP TypographicSymbols"/>
        </w:rPr>
        <w:t>“</w:t>
      </w:r>
      <w:r>
        <w:t>Units</w:t>
      </w:r>
      <w:r>
        <w:rPr>
          <w:rFonts w:ascii="WP TypographicSymbols" w:hAnsi="WP TypographicSymbols"/>
        </w:rPr>
        <w:t>”</w:t>
      </w:r>
      <w:r>
        <w:t xml:space="preserve">.  </w:t>
      </w:r>
      <w:r>
        <w:rPr>
          <w:rFonts w:ascii="WP TypographicSymbols" w:hAnsi="WP TypographicSymbols"/>
        </w:rPr>
        <w:t>“</w:t>
      </w:r>
      <w:r>
        <w:t>Sessions</w:t>
      </w:r>
      <w:r>
        <w:rPr>
          <w:rFonts w:ascii="WP TypographicSymbols" w:hAnsi="WP TypographicSymbols"/>
        </w:rPr>
        <w:t>”</w:t>
      </w:r>
      <w:r>
        <w:t xml:space="preserve"> are found under </w:t>
      </w:r>
      <w:r>
        <w:rPr>
          <w:rFonts w:ascii="WP TypographicSymbols" w:hAnsi="WP TypographicSymbols"/>
        </w:rPr>
        <w:t>“</w:t>
      </w:r>
      <w:r>
        <w:t>Units</w:t>
      </w:r>
      <w:r>
        <w:rPr>
          <w:rFonts w:ascii="WP TypographicSymbols" w:hAnsi="WP TypographicSymbols"/>
        </w:rPr>
        <w:t>”</w:t>
      </w:r>
      <w:r>
        <w:t xml:space="preserve"> and </w:t>
      </w:r>
      <w:r>
        <w:rPr>
          <w:rFonts w:ascii="WP TypographicSymbols" w:hAnsi="WP TypographicSymbols"/>
        </w:rPr>
        <w:t>“</w:t>
      </w:r>
      <w:r>
        <w:t>Modules</w:t>
      </w:r>
      <w:r>
        <w:rPr>
          <w:rFonts w:ascii="WP TypographicSymbols" w:hAnsi="WP TypographicSymbols"/>
        </w:rPr>
        <w:t>”</w:t>
      </w:r>
      <w:r>
        <w:t xml:space="preserve"> under </w:t>
      </w:r>
      <w:r>
        <w:rPr>
          <w:rFonts w:ascii="WP TypographicSymbols" w:hAnsi="WP TypographicSymbols"/>
        </w:rPr>
        <w:t>“</w:t>
      </w:r>
      <w:r>
        <w:t xml:space="preserve">Sessions”.  Further directions are provided in Blackboard.  </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ind w:left="2880" w:hanging="2880"/>
      </w:pPr>
      <w:r>
        <w:t xml:space="preserve">Required Materials </w:t>
      </w:r>
      <w:r>
        <w:tab/>
        <w:t>Small Animal Emergency and Critical Care for Veterinary Technicians, 2</w:t>
      </w:r>
      <w:r>
        <w:rPr>
          <w:vertAlign w:val="superscript"/>
        </w:rPr>
        <w:t>nd</w:t>
      </w:r>
      <w:r>
        <w:t xml:space="preserve"> Ed.</w:t>
      </w:r>
    </w:p>
    <w:p w:rsidR="00020136" w:rsidRDefault="00020136" w:rsidP="00020136">
      <w:pPr>
        <w:ind w:left="2160" w:firstLine="720"/>
      </w:pPr>
      <w:r>
        <w:t xml:space="preserve">Andrea M. </w:t>
      </w:r>
      <w:proofErr w:type="spellStart"/>
      <w:r>
        <w:t>Battaglia</w:t>
      </w:r>
      <w:proofErr w:type="spellEnd"/>
    </w:p>
    <w:p w:rsidR="00020136" w:rsidRDefault="00020136" w:rsidP="00020136">
      <w:pPr>
        <w:ind w:left="2160" w:firstLine="720"/>
      </w:pPr>
      <w:r>
        <w:t>2007, Saunders Elsevier, St. Louis, MO</w:t>
      </w:r>
    </w:p>
    <w:p w:rsidR="00020136" w:rsidRDefault="00020136" w:rsidP="00020136">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20136" w:rsidRDefault="00020136" w:rsidP="00020136">
      <w:pPr>
        <w:tabs>
          <w:tab w:val="left" w:pos="0"/>
          <w:tab w:val="right" w:pos="9359"/>
        </w:tabs>
        <w:rPr>
          <w:b/>
          <w:color w:val="000000"/>
        </w:rPr>
      </w:pPr>
      <w:r>
        <w:rPr>
          <w:b/>
          <w:color w:val="000000"/>
        </w:rPr>
        <w:t>EVALUATION OF</w:t>
      </w:r>
      <w:r>
        <w:rPr>
          <w:b/>
          <w:color w:val="000000"/>
        </w:rPr>
        <w:tab/>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 xml:space="preserve">STUDENT </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PERFORMANCE</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Satisfactory</w:t>
      </w:r>
    </w:p>
    <w:p w:rsidR="00020136" w:rsidRDefault="00020136" w:rsidP="00020136">
      <w:pPr>
        <w:ind w:left="2880" w:hanging="2880"/>
      </w:pPr>
      <w:r>
        <w:rPr>
          <w:color w:val="000000"/>
        </w:rPr>
        <w:t>Performance</w:t>
      </w:r>
      <w:r>
        <w:rPr>
          <w:color w:val="000000"/>
        </w:rPr>
        <w:tab/>
      </w:r>
      <w:r>
        <w:t xml:space="preserve">Course performance will be evaluated based on successful completion of course assignments. </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0136" w:rsidRDefault="00020136" w:rsidP="00020136">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color w:val="000000"/>
        </w:rPr>
      </w:pPr>
      <w:r>
        <w:rPr>
          <w:color w:val="000000"/>
        </w:rPr>
        <w:t>Exams and Quizzes</w:t>
      </w:r>
      <w:r>
        <w:rPr>
          <w:color w:val="000000"/>
        </w:rPr>
        <w:tab/>
      </w:r>
      <w:r w:rsidR="003911B1">
        <w:rPr>
          <w:color w:val="000000"/>
        </w:rPr>
        <w:tab/>
      </w:r>
      <w:r>
        <w:rPr>
          <w:color w:val="000000"/>
        </w:rPr>
        <w:t>Exams are available only under the supervision of a proctor.  Fifty minutes will be allowed for exams.</w:t>
      </w:r>
    </w:p>
    <w:p w:rsidR="00020136" w:rsidRDefault="00020136" w:rsidP="0002013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720"/>
        <w:rPr>
          <w:color w:val="000000"/>
        </w:rPr>
      </w:pPr>
      <w:r>
        <w:rPr>
          <w:color w:val="000000"/>
        </w:rPr>
        <w:t>A quiz is not proctored, but you are expected to complete the quiz by yourself.  The quiz is timed so that you will not have time to rely on reference materials, i.e. it is not open-book quizzes.</w:t>
      </w:r>
    </w:p>
    <w:p w:rsidR="00020136" w:rsidRDefault="00020136" w:rsidP="0002013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720"/>
        <w:rPr>
          <w:color w:val="000000"/>
        </w:rPr>
      </w:pPr>
      <w:r>
        <w:rPr>
          <w:color w:val="000000"/>
        </w:rPr>
        <w:t>If you take more time than the quiz or exam allows, your score will be deducted the points of one question each minute in overtime.</w:t>
      </w:r>
    </w:p>
    <w:p w:rsidR="00020136" w:rsidRDefault="00020136" w:rsidP="0002013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720"/>
        <w:rPr>
          <w:color w:val="000000"/>
        </w:rPr>
      </w:pPr>
      <w:r>
        <w:rPr>
          <w:color w:val="000000"/>
        </w:rPr>
        <w:t xml:space="preserve">You may take a quiz or exam only once.  You must complete the exam or quiz once you start it.  You may NOT come back to the quiz later.  If you are disconnected during an exam, contact the instructor immediately and then send an e-mail to </w:t>
      </w:r>
      <w:r>
        <w:rPr>
          <w:rStyle w:val="Hypertext"/>
          <w:color w:val="FF0000"/>
        </w:rPr>
        <w:t>blackboard@missouri.edu</w:t>
      </w:r>
      <w:r>
        <w:rPr>
          <w:color w:val="000000"/>
        </w:rPr>
        <w:t xml:space="preserve"> with your name, username, </w:t>
      </w:r>
      <w:proofErr w:type="gramStart"/>
      <w:r>
        <w:rPr>
          <w:color w:val="000000"/>
        </w:rPr>
        <w:t>course</w:t>
      </w:r>
      <w:proofErr w:type="gramEnd"/>
      <w:r>
        <w:rPr>
          <w:color w:val="000000"/>
        </w:rPr>
        <w:t xml:space="preserve"> name, title of the quiz or exam, and a description of the problem.  To ensure your answers are logged, click </w:t>
      </w:r>
      <w:r>
        <w:rPr>
          <w:rFonts w:ascii="WP TypographicSymbols" w:hAnsi="WP TypographicSymbols"/>
          <w:color w:val="000000"/>
        </w:rPr>
        <w:t>“</w:t>
      </w:r>
      <w:r>
        <w:rPr>
          <w:color w:val="000000"/>
        </w:rPr>
        <w:t>Save</w:t>
      </w:r>
      <w:r>
        <w:rPr>
          <w:rFonts w:ascii="WP TypographicSymbols" w:hAnsi="WP TypographicSymbols"/>
          <w:color w:val="000000"/>
        </w:rPr>
        <w:t>”</w:t>
      </w:r>
      <w:r>
        <w:rPr>
          <w:color w:val="000000"/>
        </w:rPr>
        <w:t xml:space="preserve"> at the bottom of </w:t>
      </w:r>
      <w:r>
        <w:rPr>
          <w:color w:val="000000"/>
        </w:rPr>
        <w:lastRenderedPageBreak/>
        <w:t xml:space="preserve">the page every 2 to 3 questions.  Click </w:t>
      </w:r>
      <w:r>
        <w:rPr>
          <w:rFonts w:ascii="WP TypographicSymbols" w:hAnsi="WP TypographicSymbols"/>
          <w:color w:val="000000"/>
        </w:rPr>
        <w:t>“</w:t>
      </w:r>
      <w:r>
        <w:rPr>
          <w:color w:val="000000"/>
        </w:rPr>
        <w:t>Submit</w:t>
      </w:r>
      <w:r>
        <w:rPr>
          <w:rFonts w:ascii="WP TypographicSymbols" w:hAnsi="WP TypographicSymbols"/>
          <w:color w:val="000000"/>
        </w:rPr>
        <w:t>”</w:t>
      </w:r>
      <w:r>
        <w:rPr>
          <w:color w:val="000000"/>
        </w:rPr>
        <w:t xml:space="preserve"> after you have reviewed your answers to have the quiz or exam graded.</w:t>
      </w:r>
    </w:p>
    <w:p w:rsidR="00020136" w:rsidRDefault="00020136" w:rsidP="000201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0136" w:rsidRDefault="00020136" w:rsidP="00020136">
      <w:pPr>
        <w:ind w:left="2880" w:hanging="2880"/>
      </w:pPr>
      <w:r>
        <w:rPr>
          <w:color w:val="000000"/>
        </w:rPr>
        <w:t>Scoring of Assignments</w:t>
      </w:r>
      <w:r>
        <w:rPr>
          <w:color w:val="000000"/>
        </w:rPr>
        <w:tab/>
      </w:r>
      <w:r>
        <w:t>Participation in weekly patient assessment blogs to discuss clinical parameters and response to therapies for critical care cases</w:t>
      </w:r>
    </w:p>
    <w:p w:rsidR="00020136" w:rsidRDefault="00020136" w:rsidP="00020136">
      <w:pPr>
        <w:ind w:left="2160" w:firstLine="720"/>
      </w:pPr>
      <w:r>
        <w:t>Two multiple choice examinations</w:t>
      </w:r>
    </w:p>
    <w:p w:rsidR="00020136" w:rsidRDefault="00020136" w:rsidP="00020136">
      <w:pPr>
        <w:ind w:left="2160" w:firstLine="720"/>
      </w:pPr>
      <w:r>
        <w:t>One cumulative final examination</w:t>
      </w:r>
    </w:p>
    <w:p w:rsidR="00020136" w:rsidRDefault="00020136" w:rsidP="00020136">
      <w:pPr>
        <w:tabs>
          <w:tab w:val="left" w:pos="-144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color w:val="000000"/>
        </w:rPr>
      </w:pPr>
      <w:r>
        <w:rPr>
          <w:color w:val="000000"/>
        </w:rPr>
        <w:t xml:space="preserve"> </w:t>
      </w:r>
    </w:p>
    <w:p w:rsidR="00020136" w:rsidRDefault="00020136" w:rsidP="00020136">
      <w:pPr>
        <w:tabs>
          <w:tab w:val="left" w:pos="-1440"/>
        </w:tabs>
        <w:ind w:left="2880" w:hanging="2880"/>
      </w:pPr>
      <w:r>
        <w:rPr>
          <w:color w:val="000000"/>
        </w:rPr>
        <w:t>Grading</w:t>
      </w:r>
      <w:r>
        <w:tab/>
        <w:t>The grading scale will be A to F, including some pluses and minuses but no A+, C+, C-, D+, or D-.  Grades will be based on the following scale:</w:t>
      </w:r>
    </w:p>
    <w:p w:rsidR="00020136" w:rsidRDefault="00020136" w:rsidP="00020136"/>
    <w:p w:rsidR="00020136" w:rsidRDefault="00020136" w:rsidP="00020136">
      <w:pPr>
        <w:tabs>
          <w:tab w:val="left" w:pos="-1440"/>
        </w:tabs>
        <w:ind w:left="5040" w:hanging="1440"/>
      </w:pPr>
      <w:r>
        <w:t xml:space="preserve">96-100% =  </w:t>
      </w:r>
      <w:r>
        <w:tab/>
        <w:t>A</w:t>
      </w:r>
    </w:p>
    <w:p w:rsidR="00020136" w:rsidRDefault="00020136" w:rsidP="00020136">
      <w:pPr>
        <w:tabs>
          <w:tab w:val="left" w:pos="-1440"/>
        </w:tabs>
        <w:ind w:left="5040" w:hanging="1440"/>
      </w:pPr>
      <w:r>
        <w:t xml:space="preserve">91-95%   =  </w:t>
      </w:r>
      <w:r>
        <w:tab/>
        <w:t>A-</w:t>
      </w:r>
    </w:p>
    <w:p w:rsidR="00020136" w:rsidRDefault="00020136" w:rsidP="00020136">
      <w:pPr>
        <w:tabs>
          <w:tab w:val="left" w:pos="-1440"/>
        </w:tabs>
        <w:ind w:left="5040" w:hanging="1440"/>
      </w:pPr>
      <w:r>
        <w:t xml:space="preserve">88-90%   = </w:t>
      </w:r>
      <w:r>
        <w:tab/>
        <w:t>B+</w:t>
      </w:r>
    </w:p>
    <w:p w:rsidR="00020136" w:rsidRDefault="00020136" w:rsidP="00020136">
      <w:pPr>
        <w:tabs>
          <w:tab w:val="left" w:pos="-1440"/>
        </w:tabs>
        <w:ind w:left="5040" w:hanging="1440"/>
      </w:pPr>
      <w:r>
        <w:t>84-87</w:t>
      </w:r>
      <w:proofErr w:type="gramStart"/>
      <w:r>
        <w:t>%  =</w:t>
      </w:r>
      <w:proofErr w:type="gramEnd"/>
      <w:r>
        <w:t xml:space="preserve">  </w:t>
      </w:r>
      <w:r>
        <w:tab/>
        <w:t>B</w:t>
      </w:r>
    </w:p>
    <w:p w:rsidR="00020136" w:rsidRDefault="00020136" w:rsidP="00020136">
      <w:pPr>
        <w:tabs>
          <w:tab w:val="left" w:pos="-1440"/>
        </w:tabs>
        <w:ind w:left="5040" w:hanging="1440"/>
      </w:pPr>
      <w:r>
        <w:t>81-83</w:t>
      </w:r>
      <w:proofErr w:type="gramStart"/>
      <w:r>
        <w:t>%  =</w:t>
      </w:r>
      <w:proofErr w:type="gramEnd"/>
      <w:r>
        <w:t xml:space="preserve">  </w:t>
      </w:r>
      <w:r>
        <w:tab/>
        <w:t>B-</w:t>
      </w:r>
    </w:p>
    <w:p w:rsidR="00020136" w:rsidRDefault="00020136" w:rsidP="00020136">
      <w:pPr>
        <w:tabs>
          <w:tab w:val="left" w:pos="-1440"/>
        </w:tabs>
        <w:ind w:left="5040" w:hanging="1440"/>
      </w:pPr>
      <w:r>
        <w:t>71-80</w:t>
      </w:r>
      <w:proofErr w:type="gramStart"/>
      <w:r>
        <w:t>%  =</w:t>
      </w:r>
      <w:proofErr w:type="gramEnd"/>
      <w:r>
        <w:t xml:space="preserve">  </w:t>
      </w:r>
      <w:r>
        <w:tab/>
        <w:t>C</w:t>
      </w:r>
    </w:p>
    <w:p w:rsidR="00020136" w:rsidRDefault="00020136" w:rsidP="00020136">
      <w:pPr>
        <w:tabs>
          <w:tab w:val="left" w:pos="-1440"/>
        </w:tabs>
        <w:ind w:left="5040" w:hanging="1440"/>
      </w:pPr>
      <w:r>
        <w:t>61-70</w:t>
      </w:r>
      <w:proofErr w:type="gramStart"/>
      <w:r>
        <w:t>%  =</w:t>
      </w:r>
      <w:proofErr w:type="gramEnd"/>
      <w:r>
        <w:t xml:space="preserve">  </w:t>
      </w:r>
      <w:r>
        <w:tab/>
        <w:t>D</w:t>
      </w:r>
    </w:p>
    <w:p w:rsidR="00020136" w:rsidRDefault="00020136" w:rsidP="00020136">
      <w:pPr>
        <w:tabs>
          <w:tab w:val="left" w:pos="-1440"/>
        </w:tabs>
        <w:rPr>
          <w:color w:val="000000"/>
        </w:rPr>
      </w:pPr>
      <w:r>
        <w:tab/>
      </w:r>
      <w:r>
        <w:tab/>
      </w:r>
      <w:r>
        <w:tab/>
      </w:r>
      <w:r>
        <w:tab/>
      </w:r>
      <w:r>
        <w:tab/>
        <w:t>60% or less =</w:t>
      </w:r>
      <w:r>
        <w:tab/>
        <w:t>F</w:t>
      </w:r>
    </w:p>
    <w:p w:rsidR="00020136" w:rsidRDefault="00020136" w:rsidP="00020136">
      <w:pPr>
        <w:tabs>
          <w:tab w:val="left" w:pos="-1440"/>
        </w:tabs>
        <w:rPr>
          <w:color w:val="000000"/>
        </w:rPr>
      </w:pPr>
    </w:p>
    <w:p w:rsidR="00020136" w:rsidRDefault="00020136" w:rsidP="00020136">
      <w:pPr>
        <w:tabs>
          <w:tab w:val="left" w:pos="-1440"/>
        </w:tabs>
        <w:rPr>
          <w:color w:val="000000"/>
        </w:rPr>
      </w:pPr>
      <w:r>
        <w:rPr>
          <w:color w:val="000000"/>
        </w:rPr>
        <w:tab/>
      </w:r>
      <w:r>
        <w:rPr>
          <w:color w:val="000000"/>
        </w:rPr>
        <w:tab/>
      </w:r>
      <w:r>
        <w:rPr>
          <w:color w:val="000000"/>
        </w:rPr>
        <w:tab/>
      </w:r>
      <w:r>
        <w:rPr>
          <w:color w:val="000000"/>
        </w:rPr>
        <w:tab/>
        <w:t>Graduate grading will not include +/-</w:t>
      </w:r>
    </w:p>
    <w:p w:rsidR="00020136" w:rsidRDefault="00020136" w:rsidP="00020136">
      <w:pPr>
        <w:tabs>
          <w:tab w:val="left" w:pos="-1440"/>
        </w:tabs>
      </w:pPr>
      <w:r>
        <w:tab/>
      </w:r>
      <w:r>
        <w:tab/>
      </w:r>
      <w:r>
        <w:tab/>
      </w:r>
      <w:r>
        <w:tab/>
      </w:r>
      <w:r>
        <w:tab/>
        <w:t xml:space="preserve">90-100% =  </w:t>
      </w:r>
      <w:r>
        <w:tab/>
        <w:t>A</w:t>
      </w:r>
    </w:p>
    <w:p w:rsidR="00020136" w:rsidRDefault="00020136" w:rsidP="00020136">
      <w:pPr>
        <w:tabs>
          <w:tab w:val="left" w:pos="-1440"/>
        </w:tabs>
      </w:pPr>
      <w:r>
        <w:tab/>
      </w:r>
      <w:r>
        <w:tab/>
      </w:r>
      <w:r>
        <w:tab/>
      </w:r>
      <w:r>
        <w:tab/>
      </w:r>
      <w:r>
        <w:tab/>
        <w:t>80 – 89</w:t>
      </w:r>
      <w:proofErr w:type="gramStart"/>
      <w:r>
        <w:t>%  =</w:t>
      </w:r>
      <w:proofErr w:type="gramEnd"/>
      <w:r>
        <w:t xml:space="preserve">  </w:t>
      </w:r>
      <w:r>
        <w:tab/>
        <w:t>B</w:t>
      </w:r>
    </w:p>
    <w:p w:rsidR="00020136" w:rsidRDefault="00020136" w:rsidP="00020136">
      <w:pPr>
        <w:tabs>
          <w:tab w:val="left" w:pos="-1440"/>
        </w:tabs>
      </w:pPr>
      <w:r>
        <w:tab/>
      </w:r>
      <w:r>
        <w:tab/>
      </w:r>
      <w:r>
        <w:tab/>
      </w:r>
      <w:r>
        <w:tab/>
      </w:r>
      <w:r>
        <w:tab/>
        <w:t>70-79</w:t>
      </w:r>
      <w:proofErr w:type="gramStart"/>
      <w:r>
        <w:t>%  =</w:t>
      </w:r>
      <w:proofErr w:type="gramEnd"/>
      <w:r>
        <w:t xml:space="preserve">  </w:t>
      </w:r>
      <w:r>
        <w:tab/>
        <w:t>C</w:t>
      </w:r>
    </w:p>
    <w:p w:rsidR="00020136" w:rsidRDefault="00020136" w:rsidP="00020136">
      <w:pPr>
        <w:tabs>
          <w:tab w:val="left" w:pos="-1440"/>
        </w:tabs>
      </w:pPr>
      <w:r>
        <w:tab/>
      </w:r>
      <w:r>
        <w:tab/>
      </w:r>
      <w:r>
        <w:tab/>
      </w:r>
      <w:r>
        <w:tab/>
      </w:r>
      <w:r>
        <w:tab/>
        <w:t>65-69</w:t>
      </w:r>
      <w:proofErr w:type="gramStart"/>
      <w:r>
        <w:t>%  =</w:t>
      </w:r>
      <w:proofErr w:type="gramEnd"/>
      <w:r>
        <w:t xml:space="preserve">  </w:t>
      </w:r>
      <w:r>
        <w:tab/>
        <w:t>D</w:t>
      </w:r>
    </w:p>
    <w:p w:rsidR="00020136" w:rsidRDefault="00020136" w:rsidP="00020136">
      <w:pPr>
        <w:tabs>
          <w:tab w:val="left" w:pos="-1440"/>
        </w:tabs>
      </w:pPr>
      <w:r>
        <w:tab/>
      </w:r>
      <w:r>
        <w:tab/>
      </w:r>
      <w:r>
        <w:tab/>
      </w:r>
      <w:r>
        <w:tab/>
      </w:r>
      <w:r>
        <w:tab/>
        <w:t>64% or less =</w:t>
      </w:r>
      <w:r>
        <w:tab/>
        <w:t>F</w:t>
      </w:r>
    </w:p>
    <w:p w:rsidR="00020136" w:rsidRDefault="00020136" w:rsidP="000201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color w:val="000000"/>
        </w:rPr>
      </w:pPr>
      <w:r>
        <w:rPr>
          <w:color w:val="000000"/>
        </w:rPr>
        <w:t xml:space="preserve">Note: A Certificate in Biomedical Technology requires at least a </w:t>
      </w:r>
      <w:r>
        <w:rPr>
          <w:rFonts w:ascii="WP TypographicSymbols" w:hAnsi="WP TypographicSymbols"/>
          <w:color w:val="000000"/>
        </w:rPr>
        <w:t>“</w:t>
      </w:r>
      <w:r>
        <w:rPr>
          <w:color w:val="000000"/>
        </w:rPr>
        <w:t>C</w:t>
      </w:r>
      <w:r>
        <w:rPr>
          <w:rFonts w:ascii="WP TypographicSymbols" w:hAnsi="WP TypographicSymbols"/>
          <w:color w:val="000000"/>
        </w:rPr>
        <w:t>”</w:t>
      </w:r>
      <w:r>
        <w:rPr>
          <w:color w:val="000000"/>
        </w:rPr>
        <w:t xml:space="preserve"> grade in this course, plus a total of 15 </w:t>
      </w:r>
      <w:proofErr w:type="spellStart"/>
      <w:r>
        <w:rPr>
          <w:color w:val="000000"/>
        </w:rPr>
        <w:t>cr</w:t>
      </w:r>
      <w:proofErr w:type="spellEnd"/>
      <w:r>
        <w:rPr>
          <w:color w:val="000000"/>
        </w:rPr>
        <w:t xml:space="preserve"> </w:t>
      </w:r>
      <w:proofErr w:type="spellStart"/>
      <w:r>
        <w:rPr>
          <w:color w:val="000000"/>
        </w:rPr>
        <w:t>hr</w:t>
      </w:r>
      <w:proofErr w:type="spellEnd"/>
      <w:r>
        <w:rPr>
          <w:color w:val="000000"/>
        </w:rPr>
        <w:t xml:space="preserve"> BIOMED courses with an average GPA in all BIOMED courses of 3.0.</w:t>
      </w:r>
    </w:p>
    <w:p w:rsidR="00020136" w:rsidRDefault="00020136" w:rsidP="000201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color w:val="000000"/>
        </w:rPr>
      </w:pPr>
    </w:p>
    <w:p w:rsidR="00020136" w:rsidRDefault="00020136" w:rsidP="000201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color w:val="000000"/>
        </w:rPr>
      </w:pPr>
    </w:p>
    <w:p w:rsidR="00020136" w:rsidRDefault="00020136"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3911B1" w:rsidRDefault="003911B1" w:rsidP="00020136"/>
    <w:p w:rsidR="00020136" w:rsidRDefault="00020136" w:rsidP="00020136"/>
    <w:p w:rsidR="00020136" w:rsidRDefault="00020136" w:rsidP="00020136">
      <w:pPr>
        <w:rPr>
          <w:b/>
          <w:sz w:val="28"/>
          <w:szCs w:val="28"/>
        </w:rPr>
      </w:pPr>
      <w:r>
        <w:rPr>
          <w:b/>
          <w:sz w:val="28"/>
          <w:szCs w:val="28"/>
        </w:rPr>
        <w:lastRenderedPageBreak/>
        <w:t>Course Schedule</w:t>
      </w:r>
    </w:p>
    <w:p w:rsidR="00020136" w:rsidRDefault="00020136" w:rsidP="00020136"/>
    <w:p w:rsidR="00020136" w:rsidRDefault="00020136" w:rsidP="00020136"/>
    <w:tbl>
      <w:tblPr>
        <w:tblW w:w="8940" w:type="dxa"/>
        <w:tblInd w:w="93" w:type="dxa"/>
        <w:tblLook w:val="04A0" w:firstRow="1" w:lastRow="0" w:firstColumn="1" w:lastColumn="0" w:noHBand="0" w:noVBand="1"/>
      </w:tblPr>
      <w:tblGrid>
        <w:gridCol w:w="915"/>
        <w:gridCol w:w="1225"/>
        <w:gridCol w:w="2260"/>
        <w:gridCol w:w="960"/>
        <w:gridCol w:w="3580"/>
      </w:tblGrid>
      <w:tr w:rsidR="00020136" w:rsidTr="003911B1">
        <w:trPr>
          <w:trHeight w:val="780"/>
        </w:trPr>
        <w:tc>
          <w:tcPr>
            <w:tcW w:w="915" w:type="dxa"/>
            <w:tcBorders>
              <w:top w:val="single" w:sz="4" w:space="0" w:color="auto"/>
              <w:left w:val="single" w:sz="4" w:space="0" w:color="auto"/>
              <w:bottom w:val="single" w:sz="4" w:space="0" w:color="auto"/>
              <w:right w:val="single" w:sz="4" w:space="0" w:color="auto"/>
            </w:tcBorders>
            <w:shd w:val="clear" w:color="auto" w:fill="A6A6A6"/>
            <w:vAlign w:val="bottom"/>
          </w:tcPr>
          <w:p w:rsidR="00020136" w:rsidRDefault="00020136">
            <w:pPr>
              <w:spacing w:line="276" w:lineRule="auto"/>
              <w:rPr>
                <w:rFonts w:ascii="Calibri" w:hAnsi="Calibri"/>
                <w:color w:val="000000"/>
                <w:sz w:val="22"/>
                <w:szCs w:val="22"/>
              </w:rPr>
            </w:pPr>
          </w:p>
        </w:tc>
        <w:tc>
          <w:tcPr>
            <w:tcW w:w="1225" w:type="dxa"/>
            <w:tcBorders>
              <w:top w:val="single" w:sz="4" w:space="0" w:color="auto"/>
              <w:left w:val="nil"/>
              <w:bottom w:val="single" w:sz="4" w:space="0" w:color="auto"/>
              <w:right w:val="single" w:sz="4" w:space="0" w:color="auto"/>
            </w:tcBorders>
            <w:shd w:val="clear" w:color="auto" w:fill="A6A6A6"/>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Unit</w:t>
            </w:r>
          </w:p>
        </w:tc>
        <w:tc>
          <w:tcPr>
            <w:tcW w:w="2260" w:type="dxa"/>
            <w:tcBorders>
              <w:top w:val="single" w:sz="4" w:space="0" w:color="auto"/>
              <w:left w:val="nil"/>
              <w:bottom w:val="single" w:sz="4" w:space="0" w:color="auto"/>
              <w:right w:val="single" w:sz="4" w:space="0" w:color="auto"/>
            </w:tcBorders>
            <w:shd w:val="clear" w:color="auto" w:fill="A6A6A6"/>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Session</w:t>
            </w:r>
          </w:p>
        </w:tc>
        <w:tc>
          <w:tcPr>
            <w:tcW w:w="960" w:type="dxa"/>
            <w:tcBorders>
              <w:top w:val="single" w:sz="4" w:space="0" w:color="auto"/>
              <w:left w:val="nil"/>
              <w:bottom w:val="single" w:sz="4" w:space="0" w:color="auto"/>
              <w:right w:val="single" w:sz="4" w:space="0" w:color="auto"/>
            </w:tcBorders>
            <w:shd w:val="clear" w:color="auto" w:fill="A6A6A6"/>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Module #</w:t>
            </w:r>
          </w:p>
        </w:tc>
        <w:tc>
          <w:tcPr>
            <w:tcW w:w="3580" w:type="dxa"/>
            <w:tcBorders>
              <w:top w:val="single" w:sz="4" w:space="0" w:color="auto"/>
              <w:left w:val="nil"/>
              <w:bottom w:val="single" w:sz="4" w:space="0" w:color="auto"/>
              <w:right w:val="single" w:sz="4" w:space="0" w:color="auto"/>
            </w:tcBorders>
            <w:shd w:val="clear" w:color="auto" w:fill="A6A6A6"/>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Topic</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 The Critical Patient</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 Clients and Pets</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Patient Triage and Client Communications</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The Physical Examination and Inpatient Evaluation</w:t>
            </w:r>
          </w:p>
        </w:tc>
      </w:tr>
      <w:tr w:rsidR="00020136" w:rsidTr="003911B1">
        <w:trPr>
          <w:trHeight w:val="555"/>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 Monitoring and Data</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Blood Testing Methods and Parameters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Cardiac and Respiratory Monitoring</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5</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Blood Pressure, CVP, and Equipment Monitoring</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 Delivery of Care</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 Intravenous Treatment</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6</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Intravenous Catheters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7</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Fluid Therapy</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8</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Blood Transfusions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9</w:t>
            </w:r>
          </w:p>
        </w:tc>
        <w:tc>
          <w:tcPr>
            <w:tcW w:w="358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Exam 1 (Lectures 1-8)</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5: Illness and the Immune System</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10</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Immune Compromise and Critical Illness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11</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Sanitation and Infection Control</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 Patient Comfort and Safety</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 Oxygen, Water, Nutrients</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12</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Feeding and Nutritional Support</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13</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Oxygen Therapy</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14</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Mechanical Ventilation</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6: Anesthesia and Analgesia</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15</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Pain Assessment and Management</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16</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Sedation and Anesthesia 1</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17</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Sedation and Anesthesia 2</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 Delivery of Emergency Care 1</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7: Shock, CPR</w:t>
            </w:r>
          </w:p>
        </w:tc>
        <w:tc>
          <w:tcPr>
            <w:tcW w:w="96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18</w:t>
            </w:r>
          </w:p>
        </w:tc>
        <w:tc>
          <w:tcPr>
            <w:tcW w:w="358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Exam 2 (Lectures 10-17)</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19</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Cardiopulmonary Resuscitation</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20</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Identification and Management of Shock</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8: Trauma, Bleeding, Cardiac, Respiratory</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21</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Trauma</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22</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Management of Hemorrhage</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23</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Cardiovascular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5: Delivery of Emergency Care 2</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9: Respiratory, Gastrointestinal and Endocrine</w:t>
            </w:r>
          </w:p>
        </w:tc>
        <w:tc>
          <w:tcPr>
            <w:tcW w:w="960" w:type="dxa"/>
            <w:tcBorders>
              <w:top w:val="nil"/>
              <w:left w:val="nil"/>
              <w:bottom w:val="single" w:sz="4" w:space="0" w:color="auto"/>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24</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Respiratory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25</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Gastrointestinal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26</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Endocrine Emergencies</w:t>
            </w:r>
          </w:p>
        </w:tc>
      </w:tr>
      <w:tr w:rsidR="00020136" w:rsidTr="003911B1">
        <w:trPr>
          <w:trHeight w:val="600"/>
        </w:trPr>
        <w:tc>
          <w:tcPr>
            <w:tcW w:w="915" w:type="dxa"/>
            <w:tcBorders>
              <w:top w:val="nil"/>
              <w:left w:val="single" w:sz="4" w:space="0" w:color="auto"/>
              <w:bottom w:val="single" w:sz="4" w:space="0" w:color="auto"/>
              <w:right w:val="single" w:sz="4" w:space="0" w:color="auto"/>
            </w:tcBorders>
            <w:shd w:val="clear" w:color="auto" w:fill="D9D9D9"/>
            <w:vAlign w:val="bottom"/>
          </w:tcPr>
          <w:p w:rsidR="00020136" w:rsidRDefault="00020136">
            <w:pPr>
              <w:spacing w:line="276" w:lineRule="auto"/>
              <w:rPr>
                <w:rFonts w:ascii="Calibri" w:hAnsi="Calibri"/>
                <w:color w:val="000000"/>
                <w:sz w:val="22"/>
                <w:szCs w:val="22"/>
              </w:rPr>
            </w:pPr>
          </w:p>
        </w:tc>
        <w:tc>
          <w:tcPr>
            <w:tcW w:w="1225" w:type="dxa"/>
            <w:tcBorders>
              <w:top w:val="nil"/>
              <w:left w:val="nil"/>
              <w:bottom w:val="single" w:sz="4" w:space="0" w:color="auto"/>
              <w:right w:val="single" w:sz="4" w:space="0" w:color="auto"/>
            </w:tcBorders>
            <w:shd w:val="clear" w:color="auto" w:fill="D9D9D9"/>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2260" w:type="dxa"/>
            <w:tcBorders>
              <w:top w:val="nil"/>
              <w:left w:val="nil"/>
              <w:bottom w:val="single" w:sz="4" w:space="0" w:color="auto"/>
              <w:right w:val="single" w:sz="4" w:space="0" w:color="auto"/>
            </w:tcBorders>
            <w:shd w:val="clear" w:color="auto" w:fill="D9D9D9"/>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D9D9D9"/>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3580" w:type="dxa"/>
            <w:tcBorders>
              <w:top w:val="nil"/>
              <w:left w:val="nil"/>
              <w:bottom w:val="single" w:sz="4" w:space="0" w:color="auto"/>
              <w:right w:val="single" w:sz="4" w:space="0" w:color="auto"/>
            </w:tcBorders>
            <w:shd w:val="clear" w:color="auto" w:fill="D9D9D9"/>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22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27</w:t>
            </w:r>
          </w:p>
        </w:tc>
        <w:tc>
          <w:tcPr>
            <w:tcW w:w="358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Exam 3 (Lectures 19-26)</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10: Toxicology</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28</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Toxicology 1</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29</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Toxicology 2</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6: Delivery of Emergency Care 3</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11: Metabolic, Urinary and Reproductive</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30</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Metabolic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31</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Urinary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32</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Reproductive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12:Ophthalmic, Neurologic, Immunologic</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33</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Ophthalmic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34</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Neurologic Emergencies</w:t>
            </w:r>
          </w:p>
        </w:tc>
      </w:tr>
      <w:tr w:rsidR="00020136" w:rsidTr="003911B1">
        <w:trPr>
          <w:trHeight w:val="6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35</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Immune-mediated hemolytic anemia and ITP</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7: Delivery of Emergency Care 4</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13: Sepsis, SIRS, Exotics</w:t>
            </w:r>
          </w:p>
        </w:tc>
        <w:tc>
          <w:tcPr>
            <w:tcW w:w="96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36</w:t>
            </w:r>
          </w:p>
        </w:tc>
        <w:tc>
          <w:tcPr>
            <w:tcW w:w="358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Exam 4 (Lectures 28-35)</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37</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Sepsis, SIRS, and MODS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38</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Avian and Exotic Emergencies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14: Disasters</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39</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Disaster Preparedness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40</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Disaster Response</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41</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Avoiding Nursing Errors</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8: Life in the ER</w:t>
            </w:r>
          </w:p>
        </w:tc>
        <w:tc>
          <w:tcPr>
            <w:tcW w:w="2260" w:type="dxa"/>
            <w:vMerge w:val="restart"/>
            <w:tcBorders>
              <w:top w:val="nil"/>
              <w:left w:val="single" w:sz="4" w:space="0" w:color="auto"/>
              <w:bottom w:val="single" w:sz="4" w:space="0" w:color="000000"/>
              <w:right w:val="single" w:sz="4" w:space="0" w:color="auto"/>
            </w:tcBorders>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15: Practice Management</w:t>
            </w: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42</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Scheduling and Compassion Fatigue</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020136" w:rsidRDefault="00020136">
            <w:pPr>
              <w:rPr>
                <w:rFonts w:ascii="Calibri" w:hAnsi="Calibri"/>
                <w:color w:val="000000"/>
                <w:sz w:val="22"/>
                <w:szCs w:val="22"/>
              </w:rPr>
            </w:pPr>
          </w:p>
        </w:tc>
        <w:tc>
          <w:tcPr>
            <w:tcW w:w="9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43</w:t>
            </w:r>
          </w:p>
        </w:tc>
        <w:tc>
          <w:tcPr>
            <w:tcW w:w="358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Record-keeping and the law</w:t>
            </w:r>
          </w:p>
        </w:tc>
      </w:tr>
      <w:tr w:rsidR="00020136" w:rsidTr="003911B1">
        <w:trPr>
          <w:trHeight w:val="300"/>
        </w:trPr>
        <w:tc>
          <w:tcPr>
            <w:tcW w:w="915" w:type="dxa"/>
            <w:tcBorders>
              <w:top w:val="nil"/>
              <w:left w:val="single" w:sz="4" w:space="0" w:color="auto"/>
              <w:bottom w:val="single" w:sz="4" w:space="0" w:color="auto"/>
              <w:right w:val="single" w:sz="4" w:space="0" w:color="auto"/>
            </w:tcBorders>
            <w:vAlign w:val="bottom"/>
          </w:tcPr>
          <w:p w:rsidR="00020136" w:rsidRDefault="00020136">
            <w:pPr>
              <w:spacing w:line="276" w:lineRule="auto"/>
              <w:jc w:val="right"/>
              <w:rPr>
                <w:rFonts w:ascii="Calibri" w:hAnsi="Calibri"/>
                <w:color w:val="000000"/>
                <w:sz w:val="22"/>
                <w:szCs w:val="22"/>
              </w:rPr>
            </w:pPr>
          </w:p>
        </w:tc>
        <w:tc>
          <w:tcPr>
            <w:tcW w:w="1225"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2260" w:type="dxa"/>
            <w:tcBorders>
              <w:top w:val="nil"/>
              <w:left w:val="nil"/>
              <w:bottom w:val="single" w:sz="4" w:space="0" w:color="auto"/>
              <w:right w:val="single" w:sz="4" w:space="0" w:color="auto"/>
            </w:tcBorders>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 </w:t>
            </w:r>
          </w:p>
        </w:tc>
        <w:tc>
          <w:tcPr>
            <w:tcW w:w="3580" w:type="dxa"/>
            <w:tcBorders>
              <w:top w:val="nil"/>
              <w:left w:val="nil"/>
              <w:bottom w:val="single" w:sz="4" w:space="0" w:color="auto"/>
              <w:right w:val="single" w:sz="4" w:space="0" w:color="auto"/>
            </w:tcBorders>
            <w:shd w:val="clear" w:color="auto" w:fill="FFFF00"/>
            <w:vAlign w:val="bottom"/>
            <w:hideMark/>
          </w:tcPr>
          <w:p w:rsidR="00020136" w:rsidRDefault="00020136">
            <w:pPr>
              <w:spacing w:line="276" w:lineRule="auto"/>
              <w:rPr>
                <w:rFonts w:ascii="Calibri" w:hAnsi="Calibri"/>
                <w:color w:val="000000"/>
                <w:sz w:val="22"/>
                <w:szCs w:val="22"/>
              </w:rPr>
            </w:pPr>
            <w:r>
              <w:rPr>
                <w:rFonts w:ascii="Calibri" w:hAnsi="Calibri"/>
                <w:color w:val="000000"/>
                <w:sz w:val="22"/>
                <w:szCs w:val="22"/>
              </w:rPr>
              <w:t>Final (Cumulative)</w:t>
            </w:r>
          </w:p>
        </w:tc>
      </w:tr>
    </w:tbl>
    <w:p w:rsidR="00020136" w:rsidRDefault="00020136" w:rsidP="00020136"/>
    <w:p w:rsidR="00862D6D" w:rsidRDefault="00862D6D"/>
    <w:sectPr w:rsidR="0086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E6C44"/>
    <w:multiLevelType w:val="hybridMultilevel"/>
    <w:tmpl w:val="621C4AB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36"/>
    <w:rsid w:val="00020136"/>
    <w:rsid w:val="003911B1"/>
    <w:rsid w:val="004963DD"/>
    <w:rsid w:val="00737449"/>
    <w:rsid w:val="007F636D"/>
    <w:rsid w:val="00862D6D"/>
    <w:rsid w:val="00F9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58CAE-59F3-4039-A265-C6D15E6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13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20136"/>
    <w:rPr>
      <w:color w:val="0000FF"/>
      <w:u w:val="single"/>
    </w:rPr>
  </w:style>
  <w:style w:type="paragraph" w:styleId="ListParagraph">
    <w:name w:val="List Paragraph"/>
    <w:basedOn w:val="Normal"/>
    <w:uiPriority w:val="34"/>
    <w:qFormat/>
    <w:rsid w:val="00020136"/>
    <w:pPr>
      <w:ind w:left="720"/>
    </w:pPr>
    <w:rPr>
      <w:rFonts w:ascii="Calibri" w:eastAsia="Calibri" w:hAnsi="Calibri" w:cs="Calibri"/>
      <w:sz w:val="22"/>
      <w:szCs w:val="22"/>
    </w:rPr>
  </w:style>
  <w:style w:type="character" w:customStyle="1" w:styleId="Hypertext">
    <w:name w:val="Hypertext"/>
    <w:rsid w:val="00020136"/>
    <w:rPr>
      <w:color w:val="0000FF"/>
      <w:u w:val="single"/>
    </w:rPr>
  </w:style>
  <w:style w:type="paragraph" w:styleId="BalloonText">
    <w:name w:val="Balloon Text"/>
    <w:basedOn w:val="Normal"/>
    <w:link w:val="BalloonTextChar"/>
    <w:uiPriority w:val="99"/>
    <w:semiHidden/>
    <w:unhideWhenUsed/>
    <w:rsid w:val="00020136"/>
    <w:rPr>
      <w:rFonts w:ascii="Tahoma" w:hAnsi="Tahoma" w:cs="Tahoma"/>
      <w:sz w:val="16"/>
      <w:szCs w:val="16"/>
    </w:rPr>
  </w:style>
  <w:style w:type="character" w:customStyle="1" w:styleId="BalloonTextChar">
    <w:name w:val="Balloon Text Char"/>
    <w:basedOn w:val="DefaultParagraphFont"/>
    <w:link w:val="BalloonText"/>
    <w:uiPriority w:val="99"/>
    <w:semiHidden/>
    <w:rsid w:val="000201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45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rlM@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MU Vet Med</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June C.</dc:creator>
  <cp:lastModifiedBy>Kelly, June C.</cp:lastModifiedBy>
  <cp:revision>5</cp:revision>
  <dcterms:created xsi:type="dcterms:W3CDTF">2014-10-15T16:13:00Z</dcterms:created>
  <dcterms:modified xsi:type="dcterms:W3CDTF">2014-10-15T16:17:00Z</dcterms:modified>
</cp:coreProperties>
</file>